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863" w:rsidRPr="00382795" w:rsidRDefault="0014431E" w:rsidP="00C11B13">
      <w:pPr>
        <w:jc w:val="both"/>
        <w:rPr>
          <w:rFonts w:ascii="Times New Roman" w:hAnsi="Times New Roman" w:cs="Times New Roman"/>
          <w:b/>
          <w:i/>
          <w:sz w:val="34"/>
          <w:szCs w:val="34"/>
          <w:u w:val="single"/>
        </w:rPr>
      </w:pPr>
      <w:r w:rsidRPr="00382795">
        <w:rPr>
          <w:rFonts w:ascii="Times New Roman" w:hAnsi="Times New Roman" w:cs="Times New Roman"/>
          <w:b/>
          <w:i/>
          <w:sz w:val="34"/>
          <w:szCs w:val="34"/>
          <w:u w:val="single"/>
        </w:rPr>
        <w:t>Statewide Agreed-Upon Procedures</w:t>
      </w:r>
      <w:r w:rsidR="007727DD" w:rsidRPr="00382795">
        <w:rPr>
          <w:rFonts w:ascii="Times New Roman" w:hAnsi="Times New Roman" w:cs="Times New Roman"/>
          <w:b/>
          <w:i/>
          <w:sz w:val="34"/>
          <w:szCs w:val="34"/>
          <w:u w:val="single"/>
        </w:rPr>
        <w:t xml:space="preserve"> </w:t>
      </w:r>
      <w:r w:rsidRPr="00382795">
        <w:rPr>
          <w:rFonts w:ascii="Times New Roman" w:hAnsi="Times New Roman" w:cs="Times New Roman"/>
          <w:b/>
          <w:i/>
          <w:sz w:val="34"/>
          <w:szCs w:val="34"/>
          <w:u w:val="single"/>
        </w:rPr>
        <w:t>– F</w:t>
      </w:r>
      <w:r w:rsidR="007727DD" w:rsidRPr="00382795">
        <w:rPr>
          <w:rFonts w:ascii="Times New Roman" w:hAnsi="Times New Roman" w:cs="Times New Roman"/>
          <w:b/>
          <w:i/>
          <w:sz w:val="34"/>
          <w:szCs w:val="34"/>
          <w:u w:val="single"/>
        </w:rPr>
        <w:t>requently Asked Questions</w:t>
      </w:r>
    </w:p>
    <w:p w:rsidR="005B41DC" w:rsidRDefault="005B41DC" w:rsidP="00C11B13">
      <w:pPr>
        <w:jc w:val="both"/>
        <w:rPr>
          <w:rFonts w:ascii="Times New Roman" w:hAnsi="Times New Roman" w:cs="Times New Roman"/>
          <w:sz w:val="24"/>
          <w:szCs w:val="24"/>
        </w:rPr>
      </w:pPr>
    </w:p>
    <w:p w:rsidR="007727DD" w:rsidRDefault="007727DD" w:rsidP="00C11B13">
      <w:pPr>
        <w:jc w:val="both"/>
        <w:rPr>
          <w:rFonts w:ascii="Times New Roman" w:hAnsi="Times New Roman" w:cs="Times New Roman"/>
          <w:sz w:val="24"/>
          <w:szCs w:val="24"/>
        </w:rPr>
      </w:pPr>
      <w:r>
        <w:rPr>
          <w:rFonts w:ascii="Times New Roman" w:hAnsi="Times New Roman" w:cs="Times New Roman"/>
          <w:sz w:val="24"/>
          <w:szCs w:val="24"/>
        </w:rPr>
        <w:t>The following frequently asked questions (FAQs) are based</w:t>
      </w:r>
      <w:r w:rsidR="00FC650D">
        <w:rPr>
          <w:rFonts w:ascii="Times New Roman" w:hAnsi="Times New Roman" w:cs="Times New Roman"/>
          <w:sz w:val="24"/>
          <w:szCs w:val="24"/>
        </w:rPr>
        <w:t xml:space="preserve"> on feedback</w:t>
      </w:r>
      <w:r w:rsidR="005C2644">
        <w:rPr>
          <w:rFonts w:ascii="Times New Roman" w:hAnsi="Times New Roman" w:cs="Times New Roman"/>
          <w:sz w:val="24"/>
          <w:szCs w:val="24"/>
        </w:rPr>
        <w:t xml:space="preserve"> received</w:t>
      </w:r>
      <w:r w:rsidR="00FC650D">
        <w:rPr>
          <w:rFonts w:ascii="Times New Roman" w:hAnsi="Times New Roman" w:cs="Times New Roman"/>
          <w:sz w:val="24"/>
          <w:szCs w:val="24"/>
        </w:rPr>
        <w:t xml:space="preserve"> from local officials and practitioner</w:t>
      </w:r>
      <w:r>
        <w:rPr>
          <w:rFonts w:ascii="Times New Roman" w:hAnsi="Times New Roman" w:cs="Times New Roman"/>
          <w:sz w:val="24"/>
          <w:szCs w:val="24"/>
        </w:rPr>
        <w:t xml:space="preserve">s </w:t>
      </w:r>
      <w:r w:rsidR="00A04342">
        <w:rPr>
          <w:rFonts w:ascii="Times New Roman" w:hAnsi="Times New Roman" w:cs="Times New Roman"/>
          <w:sz w:val="24"/>
          <w:szCs w:val="24"/>
        </w:rPr>
        <w:t>after</w:t>
      </w:r>
      <w:r>
        <w:rPr>
          <w:rFonts w:ascii="Times New Roman" w:hAnsi="Times New Roman" w:cs="Times New Roman"/>
          <w:sz w:val="24"/>
          <w:szCs w:val="24"/>
        </w:rPr>
        <w:t xml:space="preserve"> the </w:t>
      </w:r>
      <w:r w:rsidR="00C11B13">
        <w:rPr>
          <w:rFonts w:ascii="Times New Roman" w:hAnsi="Times New Roman" w:cs="Times New Roman"/>
          <w:sz w:val="24"/>
          <w:szCs w:val="24"/>
        </w:rPr>
        <w:t xml:space="preserve">Louisiana Legislative Auditor (LLA) </w:t>
      </w:r>
      <w:r>
        <w:rPr>
          <w:rFonts w:ascii="Times New Roman" w:hAnsi="Times New Roman" w:cs="Times New Roman"/>
          <w:sz w:val="24"/>
          <w:szCs w:val="24"/>
        </w:rPr>
        <w:t>issu</w:t>
      </w:r>
      <w:r w:rsidR="00C11B13">
        <w:rPr>
          <w:rFonts w:ascii="Times New Roman" w:hAnsi="Times New Roman" w:cs="Times New Roman"/>
          <w:sz w:val="24"/>
          <w:szCs w:val="24"/>
        </w:rPr>
        <w:t>ed</w:t>
      </w:r>
      <w:r>
        <w:rPr>
          <w:rFonts w:ascii="Times New Roman" w:hAnsi="Times New Roman" w:cs="Times New Roman"/>
          <w:sz w:val="24"/>
          <w:szCs w:val="24"/>
        </w:rPr>
        <w:t xml:space="preserve"> the </w:t>
      </w:r>
      <w:r w:rsidR="00C119FA">
        <w:rPr>
          <w:rFonts w:ascii="Times New Roman" w:hAnsi="Times New Roman" w:cs="Times New Roman"/>
          <w:sz w:val="24"/>
          <w:szCs w:val="24"/>
        </w:rPr>
        <w:t>Y</w:t>
      </w:r>
      <w:r w:rsidR="000B647A">
        <w:rPr>
          <w:rFonts w:ascii="Times New Roman" w:hAnsi="Times New Roman" w:cs="Times New Roman"/>
          <w:sz w:val="24"/>
          <w:szCs w:val="24"/>
        </w:rPr>
        <w:t xml:space="preserve">ear 2 </w:t>
      </w:r>
      <w:r>
        <w:rPr>
          <w:rFonts w:ascii="Times New Roman" w:hAnsi="Times New Roman" w:cs="Times New Roman"/>
          <w:sz w:val="24"/>
          <w:szCs w:val="24"/>
        </w:rPr>
        <w:t xml:space="preserve">statewide </w:t>
      </w:r>
      <w:r w:rsidR="00382795">
        <w:rPr>
          <w:rFonts w:ascii="Times New Roman" w:hAnsi="Times New Roman" w:cs="Times New Roman"/>
          <w:sz w:val="24"/>
          <w:szCs w:val="24"/>
        </w:rPr>
        <w:t>agreed-upon procedures (</w:t>
      </w:r>
      <w:r>
        <w:rPr>
          <w:rFonts w:ascii="Times New Roman" w:hAnsi="Times New Roman" w:cs="Times New Roman"/>
          <w:sz w:val="24"/>
          <w:szCs w:val="24"/>
        </w:rPr>
        <w:t>AUPs</w:t>
      </w:r>
      <w:r w:rsidR="00382795">
        <w:rPr>
          <w:rFonts w:ascii="Times New Roman" w:hAnsi="Times New Roman" w:cs="Times New Roman"/>
          <w:sz w:val="24"/>
          <w:szCs w:val="24"/>
        </w:rPr>
        <w:t>)</w:t>
      </w:r>
      <w:r>
        <w:rPr>
          <w:rFonts w:ascii="Times New Roman" w:hAnsi="Times New Roman" w:cs="Times New Roman"/>
          <w:sz w:val="24"/>
          <w:szCs w:val="24"/>
        </w:rPr>
        <w:t xml:space="preserve"> on </w:t>
      </w:r>
      <w:r w:rsidR="000B647A">
        <w:rPr>
          <w:rFonts w:ascii="Times New Roman" w:hAnsi="Times New Roman" w:cs="Times New Roman"/>
          <w:sz w:val="24"/>
          <w:szCs w:val="24"/>
        </w:rPr>
        <w:t>June</w:t>
      </w:r>
      <w:r>
        <w:rPr>
          <w:rFonts w:ascii="Times New Roman" w:hAnsi="Times New Roman" w:cs="Times New Roman"/>
          <w:sz w:val="24"/>
          <w:szCs w:val="24"/>
        </w:rPr>
        <w:t xml:space="preserve"> </w:t>
      </w:r>
      <w:r w:rsidR="000B647A">
        <w:rPr>
          <w:rFonts w:ascii="Times New Roman" w:hAnsi="Times New Roman" w:cs="Times New Roman"/>
          <w:sz w:val="24"/>
          <w:szCs w:val="24"/>
        </w:rPr>
        <w:t>6</w:t>
      </w:r>
      <w:r>
        <w:rPr>
          <w:rFonts w:ascii="Times New Roman" w:hAnsi="Times New Roman" w:cs="Times New Roman"/>
          <w:sz w:val="24"/>
          <w:szCs w:val="24"/>
        </w:rPr>
        <w:t>, 201</w:t>
      </w:r>
      <w:r w:rsidR="000B647A">
        <w:rPr>
          <w:rFonts w:ascii="Times New Roman" w:hAnsi="Times New Roman" w:cs="Times New Roman"/>
          <w:sz w:val="24"/>
          <w:szCs w:val="24"/>
        </w:rPr>
        <w:t>8</w:t>
      </w:r>
      <w:r>
        <w:rPr>
          <w:rFonts w:ascii="Times New Roman" w:hAnsi="Times New Roman" w:cs="Times New Roman"/>
          <w:sz w:val="24"/>
          <w:szCs w:val="24"/>
        </w:rPr>
        <w:t xml:space="preserve">.  </w:t>
      </w:r>
      <w:r w:rsidR="00382795">
        <w:rPr>
          <w:rFonts w:ascii="Times New Roman" w:hAnsi="Times New Roman" w:cs="Times New Roman"/>
          <w:sz w:val="24"/>
          <w:szCs w:val="24"/>
        </w:rPr>
        <w:t>We</w:t>
      </w:r>
      <w:r w:rsidR="00A04342">
        <w:rPr>
          <w:rFonts w:ascii="Times New Roman" w:hAnsi="Times New Roman" w:cs="Times New Roman"/>
          <w:sz w:val="24"/>
          <w:szCs w:val="24"/>
        </w:rPr>
        <w:t xml:space="preserve"> </w:t>
      </w:r>
      <w:r>
        <w:rPr>
          <w:rFonts w:ascii="Times New Roman" w:hAnsi="Times New Roman" w:cs="Times New Roman"/>
          <w:sz w:val="24"/>
          <w:szCs w:val="24"/>
        </w:rPr>
        <w:t>will continue to update these FAQs</w:t>
      </w:r>
      <w:r w:rsidR="00C11B13">
        <w:rPr>
          <w:rFonts w:ascii="Times New Roman" w:hAnsi="Times New Roman" w:cs="Times New Roman"/>
          <w:sz w:val="24"/>
          <w:szCs w:val="24"/>
        </w:rPr>
        <w:t xml:space="preserve"> periodically</w:t>
      </w:r>
      <w:r>
        <w:rPr>
          <w:rFonts w:ascii="Times New Roman" w:hAnsi="Times New Roman" w:cs="Times New Roman"/>
          <w:sz w:val="24"/>
          <w:szCs w:val="24"/>
        </w:rPr>
        <w:t xml:space="preserve"> as w</w:t>
      </w:r>
      <w:r w:rsidR="0035571B">
        <w:rPr>
          <w:rFonts w:ascii="Times New Roman" w:hAnsi="Times New Roman" w:cs="Times New Roman"/>
          <w:sz w:val="24"/>
          <w:szCs w:val="24"/>
        </w:rPr>
        <w:t>e receive additional feedback.</w:t>
      </w:r>
    </w:p>
    <w:p w:rsidR="007727DD" w:rsidRDefault="007727DD" w:rsidP="00C11B13">
      <w:pPr>
        <w:jc w:val="both"/>
        <w:rPr>
          <w:rFonts w:ascii="Times New Roman" w:hAnsi="Times New Roman" w:cs="Times New Roman"/>
          <w:sz w:val="24"/>
          <w:szCs w:val="24"/>
        </w:rPr>
      </w:pPr>
    </w:p>
    <w:p w:rsidR="0038702F" w:rsidRPr="0038702F" w:rsidRDefault="00AA0DF2" w:rsidP="00C11B13">
      <w:pPr>
        <w:jc w:val="both"/>
        <w:rPr>
          <w:rFonts w:ascii="Times New Roman" w:hAnsi="Times New Roman" w:cs="Times New Roman"/>
          <w:b/>
          <w:i/>
          <w:sz w:val="28"/>
          <w:szCs w:val="28"/>
          <w:u w:val="single"/>
        </w:rPr>
      </w:pPr>
      <w:r>
        <w:rPr>
          <w:rFonts w:ascii="Times New Roman" w:hAnsi="Times New Roman" w:cs="Times New Roman"/>
          <w:b/>
          <w:i/>
          <w:sz w:val="28"/>
          <w:szCs w:val="28"/>
          <w:u w:val="single"/>
        </w:rPr>
        <w:t xml:space="preserve">Introduction and </w:t>
      </w:r>
      <w:r w:rsidR="0038702F" w:rsidRPr="0038702F">
        <w:rPr>
          <w:rFonts w:ascii="Times New Roman" w:hAnsi="Times New Roman" w:cs="Times New Roman"/>
          <w:b/>
          <w:i/>
          <w:sz w:val="28"/>
          <w:szCs w:val="28"/>
          <w:u w:val="single"/>
        </w:rPr>
        <w:t>General</w:t>
      </w:r>
      <w:r>
        <w:rPr>
          <w:rFonts w:ascii="Times New Roman" w:hAnsi="Times New Roman" w:cs="Times New Roman"/>
          <w:b/>
          <w:i/>
          <w:sz w:val="28"/>
          <w:szCs w:val="28"/>
          <w:u w:val="single"/>
        </w:rPr>
        <w:t xml:space="preserve"> Comments</w:t>
      </w:r>
    </w:p>
    <w:p w:rsidR="0038702F" w:rsidRDefault="0038702F" w:rsidP="0038702F">
      <w:pPr>
        <w:pStyle w:val="ListParagraph"/>
        <w:numPr>
          <w:ilvl w:val="0"/>
          <w:numId w:val="9"/>
        </w:numPr>
        <w:contextualSpacing w:val="0"/>
        <w:jc w:val="both"/>
        <w:rPr>
          <w:rFonts w:ascii="Times New Roman" w:hAnsi="Times New Roman" w:cs="Times New Roman"/>
          <w:sz w:val="24"/>
          <w:szCs w:val="24"/>
        </w:rPr>
      </w:pPr>
      <w:r>
        <w:rPr>
          <w:rFonts w:ascii="Times New Roman" w:hAnsi="Times New Roman" w:cs="Times New Roman"/>
          <w:sz w:val="24"/>
          <w:szCs w:val="24"/>
        </w:rPr>
        <w:t>For Year 2, is the LLA still considered to be a specified party to the statewide AUP engagements?</w:t>
      </w:r>
    </w:p>
    <w:p w:rsidR="0038702F" w:rsidRPr="0038702F" w:rsidRDefault="0038702F" w:rsidP="0038702F">
      <w:pPr>
        <w:pStyle w:val="ListParagraph"/>
        <w:numPr>
          <w:ilvl w:val="1"/>
          <w:numId w:val="9"/>
        </w:numPr>
        <w:contextualSpacing w:val="0"/>
        <w:jc w:val="both"/>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Yes, the LLA is a specified party to the statewide AU</w:t>
      </w:r>
      <w:r w:rsidR="00D87977">
        <w:rPr>
          <w:rFonts w:ascii="Times New Roman" w:hAnsi="Times New Roman" w:cs="Times New Roman"/>
          <w:color w:val="4F81BD" w:themeColor="accent1"/>
          <w:sz w:val="24"/>
          <w:szCs w:val="24"/>
        </w:rPr>
        <w:t>P engagements and accepts the sufficiency of AUP procedures by the acceptance of our standard (audit) engagement approval form.</w:t>
      </w:r>
    </w:p>
    <w:p w:rsidR="002D4BCD" w:rsidRDefault="00AA0DF2" w:rsidP="00AA0DF2">
      <w:pPr>
        <w:pStyle w:val="ListParagraph"/>
        <w:numPr>
          <w:ilvl w:val="0"/>
          <w:numId w:val="9"/>
        </w:numPr>
        <w:contextualSpacing w:val="0"/>
        <w:jc w:val="both"/>
        <w:rPr>
          <w:rFonts w:ascii="Times New Roman" w:hAnsi="Times New Roman" w:cs="Times New Roman"/>
          <w:sz w:val="24"/>
          <w:szCs w:val="24"/>
        </w:rPr>
      </w:pPr>
      <w:r>
        <w:rPr>
          <w:rFonts w:ascii="Times New Roman" w:hAnsi="Times New Roman" w:cs="Times New Roman"/>
          <w:sz w:val="24"/>
          <w:szCs w:val="24"/>
        </w:rPr>
        <w:t>If no exceptions were noted when performing a procedure, is “no exceptions noted” an acceptable response?</w:t>
      </w:r>
    </w:p>
    <w:p w:rsidR="00AA0DF2" w:rsidRPr="00AA0DF2" w:rsidRDefault="00AA0DF2" w:rsidP="00AA0DF2">
      <w:pPr>
        <w:pStyle w:val="ListParagraph"/>
        <w:numPr>
          <w:ilvl w:val="1"/>
          <w:numId w:val="9"/>
        </w:numPr>
        <w:contextualSpacing w:val="0"/>
        <w:jc w:val="both"/>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Yes, “no exceptions noted” is an acceptable response.</w:t>
      </w:r>
    </w:p>
    <w:p w:rsidR="00AA0DF2" w:rsidRDefault="00AA0DF2" w:rsidP="006E54EA">
      <w:pPr>
        <w:jc w:val="both"/>
        <w:rPr>
          <w:rFonts w:ascii="Times New Roman" w:hAnsi="Times New Roman" w:cs="Times New Roman"/>
          <w:b/>
          <w:i/>
          <w:sz w:val="28"/>
          <w:szCs w:val="28"/>
          <w:u w:val="single"/>
        </w:rPr>
      </w:pPr>
    </w:p>
    <w:p w:rsidR="006E54EA" w:rsidRDefault="006E54EA" w:rsidP="006E54EA">
      <w:pPr>
        <w:jc w:val="both"/>
        <w:rPr>
          <w:rFonts w:ascii="Times New Roman" w:hAnsi="Times New Roman" w:cs="Times New Roman"/>
          <w:b/>
          <w:i/>
          <w:sz w:val="28"/>
          <w:szCs w:val="28"/>
          <w:u w:val="single"/>
        </w:rPr>
      </w:pPr>
      <w:r>
        <w:rPr>
          <w:rFonts w:ascii="Times New Roman" w:hAnsi="Times New Roman" w:cs="Times New Roman"/>
          <w:b/>
          <w:i/>
          <w:sz w:val="28"/>
          <w:szCs w:val="28"/>
          <w:u w:val="single"/>
        </w:rPr>
        <w:t>Applicability of AUPs</w:t>
      </w:r>
    </w:p>
    <w:p w:rsidR="006E54EA" w:rsidRPr="000A23CC" w:rsidRDefault="006E54EA" w:rsidP="006E54EA">
      <w:pPr>
        <w:pStyle w:val="ListParagraph"/>
        <w:numPr>
          <w:ilvl w:val="0"/>
          <w:numId w:val="9"/>
        </w:numPr>
        <w:contextualSpacing w:val="0"/>
        <w:jc w:val="both"/>
        <w:rPr>
          <w:rFonts w:ascii="Times New Roman" w:hAnsi="Times New Roman" w:cs="Times New Roman"/>
          <w:sz w:val="24"/>
          <w:szCs w:val="24"/>
        </w:rPr>
      </w:pPr>
      <w:r>
        <w:rPr>
          <w:rFonts w:ascii="Times New Roman" w:hAnsi="Times New Roman" w:cs="Times New Roman"/>
          <w:sz w:val="24"/>
          <w:szCs w:val="24"/>
        </w:rPr>
        <w:t xml:space="preserve">Do the statewide AUPs apply to </w:t>
      </w:r>
      <w:r w:rsidRPr="00152E82">
        <w:rPr>
          <w:rFonts w:ascii="Times New Roman" w:hAnsi="Times New Roman" w:cs="Times New Roman"/>
          <w:sz w:val="24"/>
          <w:szCs w:val="24"/>
          <w:u w:val="single"/>
        </w:rPr>
        <w:t>state</w:t>
      </w:r>
      <w:r>
        <w:rPr>
          <w:rFonts w:ascii="Times New Roman" w:hAnsi="Times New Roman" w:cs="Times New Roman"/>
          <w:sz w:val="24"/>
          <w:szCs w:val="24"/>
        </w:rPr>
        <w:t xml:space="preserve"> entities?</w:t>
      </w:r>
    </w:p>
    <w:p w:rsidR="006E54EA" w:rsidRPr="003B362F" w:rsidRDefault="006E54EA" w:rsidP="006E54EA">
      <w:pPr>
        <w:pStyle w:val="ListParagraph"/>
        <w:numPr>
          <w:ilvl w:val="1"/>
          <w:numId w:val="9"/>
        </w:numPr>
        <w:contextualSpacing w:val="0"/>
        <w:jc w:val="both"/>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No</w:t>
      </w:r>
      <w:r w:rsidR="005F3103">
        <w:rPr>
          <w:rFonts w:ascii="Times New Roman" w:hAnsi="Times New Roman" w:cs="Times New Roman"/>
          <w:color w:val="4F81BD" w:themeColor="accent1"/>
          <w:sz w:val="24"/>
          <w:szCs w:val="24"/>
        </w:rPr>
        <w:t>, the statewide AUPs only apply to local governments and quasi-public entities</w:t>
      </w:r>
      <w:r>
        <w:rPr>
          <w:rFonts w:ascii="Times New Roman" w:hAnsi="Times New Roman" w:cs="Times New Roman"/>
          <w:color w:val="4F81BD" w:themeColor="accent1"/>
          <w:sz w:val="24"/>
          <w:szCs w:val="24"/>
        </w:rPr>
        <w:t xml:space="preserve">.  </w:t>
      </w:r>
      <w:r w:rsidRPr="003B362F">
        <w:rPr>
          <w:rFonts w:ascii="Times New Roman" w:hAnsi="Times New Roman" w:cs="Times New Roman"/>
          <w:color w:val="4F81BD" w:themeColor="accent1"/>
          <w:sz w:val="24"/>
          <w:szCs w:val="24"/>
        </w:rPr>
        <w:t xml:space="preserve">The LLA currently has </w:t>
      </w:r>
      <w:r w:rsidR="004C736B">
        <w:rPr>
          <w:rFonts w:ascii="Times New Roman" w:hAnsi="Times New Roman" w:cs="Times New Roman"/>
          <w:color w:val="4F81BD" w:themeColor="accent1"/>
          <w:sz w:val="24"/>
          <w:szCs w:val="24"/>
        </w:rPr>
        <w:t>4</w:t>
      </w:r>
      <w:r w:rsidRPr="003B362F">
        <w:rPr>
          <w:rFonts w:ascii="Times New Roman" w:hAnsi="Times New Roman" w:cs="Times New Roman"/>
          <w:color w:val="4F81BD" w:themeColor="accent1"/>
          <w:sz w:val="24"/>
          <w:szCs w:val="24"/>
        </w:rPr>
        <w:t xml:space="preserve"> different types of agreed-upon procedures engagements</w:t>
      </w:r>
      <w:r>
        <w:rPr>
          <w:rFonts w:ascii="Times New Roman" w:hAnsi="Times New Roman" w:cs="Times New Roman"/>
          <w:color w:val="4F81BD" w:themeColor="accent1"/>
          <w:sz w:val="24"/>
          <w:szCs w:val="24"/>
        </w:rPr>
        <w:t>, as follows:</w:t>
      </w:r>
    </w:p>
    <w:p w:rsidR="006E54EA" w:rsidRDefault="006E54EA" w:rsidP="00C920A6">
      <w:pPr>
        <w:pStyle w:val="ListParagraph"/>
        <w:numPr>
          <w:ilvl w:val="2"/>
          <w:numId w:val="9"/>
        </w:numPr>
        <w:jc w:val="both"/>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 xml:space="preserve">State </w:t>
      </w:r>
      <w:r w:rsidR="009808B0">
        <w:rPr>
          <w:rFonts w:ascii="Times New Roman" w:hAnsi="Times New Roman" w:cs="Times New Roman"/>
          <w:color w:val="4F81BD" w:themeColor="accent1"/>
          <w:sz w:val="24"/>
          <w:szCs w:val="24"/>
        </w:rPr>
        <w:t xml:space="preserve">entity </w:t>
      </w:r>
      <w:r>
        <w:rPr>
          <w:rFonts w:ascii="Times New Roman" w:hAnsi="Times New Roman" w:cs="Times New Roman"/>
          <w:color w:val="4F81BD" w:themeColor="accent1"/>
          <w:sz w:val="24"/>
          <w:szCs w:val="24"/>
        </w:rPr>
        <w:t>(not “statewide”) AUPs are required for certain engagements for entities that are included in the state’s CAFR.  These engagements are contracted directly by our Financial Audit Services group and do not apply to local governments or quasi-public entities.</w:t>
      </w:r>
    </w:p>
    <w:p w:rsidR="006E54EA" w:rsidRDefault="006E54EA" w:rsidP="00C920A6">
      <w:pPr>
        <w:pStyle w:val="ListParagraph"/>
        <w:numPr>
          <w:ilvl w:val="2"/>
          <w:numId w:val="9"/>
        </w:numPr>
        <w:jc w:val="both"/>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 xml:space="preserve">Statewide AUPs are required for </w:t>
      </w:r>
      <w:r w:rsidRPr="003B362F">
        <w:rPr>
          <w:rFonts w:ascii="Times New Roman" w:hAnsi="Times New Roman" w:cs="Times New Roman"/>
          <w:color w:val="4F81BD" w:themeColor="accent1"/>
          <w:sz w:val="24"/>
          <w:szCs w:val="24"/>
        </w:rPr>
        <w:t xml:space="preserve">local governments and quasi-public entities that </w:t>
      </w:r>
      <w:r w:rsidR="00152E82">
        <w:rPr>
          <w:rFonts w:ascii="Times New Roman" w:hAnsi="Times New Roman" w:cs="Times New Roman"/>
          <w:color w:val="4F81BD" w:themeColor="accent1"/>
          <w:sz w:val="24"/>
          <w:szCs w:val="24"/>
        </w:rPr>
        <w:t>receive</w:t>
      </w:r>
      <w:r w:rsidRPr="003B362F">
        <w:rPr>
          <w:rFonts w:ascii="Times New Roman" w:hAnsi="Times New Roman" w:cs="Times New Roman"/>
          <w:color w:val="4F81BD" w:themeColor="accent1"/>
          <w:sz w:val="24"/>
          <w:szCs w:val="24"/>
        </w:rPr>
        <w:t xml:space="preserve"> public funds </w:t>
      </w:r>
      <w:r>
        <w:rPr>
          <w:rFonts w:ascii="Times New Roman" w:hAnsi="Times New Roman" w:cs="Times New Roman"/>
          <w:color w:val="4F81BD" w:themeColor="accent1"/>
          <w:sz w:val="24"/>
          <w:szCs w:val="24"/>
        </w:rPr>
        <w:t>of $500,000 or greater.</w:t>
      </w:r>
    </w:p>
    <w:p w:rsidR="006E54EA" w:rsidRDefault="006E54EA" w:rsidP="00C920A6">
      <w:pPr>
        <w:pStyle w:val="ListParagraph"/>
        <w:numPr>
          <w:ilvl w:val="2"/>
          <w:numId w:val="9"/>
        </w:numPr>
        <w:jc w:val="both"/>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Review/Attest engagements include AUPs for local governments and quasi-public entiti</w:t>
      </w:r>
      <w:bookmarkStart w:id="0" w:name="_GoBack"/>
      <w:bookmarkEnd w:id="0"/>
      <w:r>
        <w:rPr>
          <w:rFonts w:ascii="Times New Roman" w:hAnsi="Times New Roman" w:cs="Times New Roman"/>
          <w:color w:val="4F81BD" w:themeColor="accent1"/>
          <w:sz w:val="24"/>
          <w:szCs w:val="24"/>
        </w:rPr>
        <w:t xml:space="preserve">es that </w:t>
      </w:r>
      <w:r w:rsidR="00152E82">
        <w:rPr>
          <w:rFonts w:ascii="Times New Roman" w:hAnsi="Times New Roman" w:cs="Times New Roman"/>
          <w:color w:val="4F81BD" w:themeColor="accent1"/>
          <w:sz w:val="24"/>
          <w:szCs w:val="24"/>
        </w:rPr>
        <w:t>receive</w:t>
      </w:r>
      <w:r>
        <w:rPr>
          <w:rFonts w:ascii="Times New Roman" w:hAnsi="Times New Roman" w:cs="Times New Roman"/>
          <w:color w:val="4F81BD" w:themeColor="accent1"/>
          <w:sz w:val="24"/>
          <w:szCs w:val="24"/>
        </w:rPr>
        <w:t xml:space="preserve"> public funds between $200,000 and $500,000.</w:t>
      </w:r>
    </w:p>
    <w:p w:rsidR="006E54EA" w:rsidRDefault="00152E82" w:rsidP="00C920A6">
      <w:pPr>
        <w:pStyle w:val="ListParagraph"/>
        <w:numPr>
          <w:ilvl w:val="2"/>
          <w:numId w:val="9"/>
        </w:numPr>
        <w:contextualSpacing w:val="0"/>
        <w:jc w:val="both"/>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lastRenderedPageBreak/>
        <w:t>Department of Education Performance Measures AUPs are required for school boards and charter schools</w:t>
      </w:r>
      <w:r w:rsidR="006E54EA" w:rsidRPr="003B362F">
        <w:rPr>
          <w:rFonts w:ascii="Times New Roman" w:hAnsi="Times New Roman" w:cs="Times New Roman"/>
          <w:color w:val="4F81BD" w:themeColor="accent1"/>
          <w:sz w:val="24"/>
          <w:szCs w:val="24"/>
        </w:rPr>
        <w:t>.</w:t>
      </w:r>
    </w:p>
    <w:p w:rsidR="006E54EA" w:rsidRPr="00C920A6" w:rsidRDefault="00C920A6" w:rsidP="00C920A6">
      <w:pPr>
        <w:pStyle w:val="ListParagraph"/>
        <w:ind w:left="1080"/>
        <w:contextualSpacing w:val="0"/>
        <w:jc w:val="both"/>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 xml:space="preserve">More than one set of AUPs may be required, depending on whether each </w:t>
      </w:r>
      <w:proofErr w:type="gramStart"/>
      <w:r>
        <w:rPr>
          <w:rFonts w:ascii="Times New Roman" w:hAnsi="Times New Roman" w:cs="Times New Roman"/>
          <w:color w:val="4F81BD" w:themeColor="accent1"/>
          <w:sz w:val="24"/>
          <w:szCs w:val="24"/>
        </w:rPr>
        <w:t>criteria</w:t>
      </w:r>
      <w:proofErr w:type="gramEnd"/>
      <w:r>
        <w:rPr>
          <w:rFonts w:ascii="Times New Roman" w:hAnsi="Times New Roman" w:cs="Times New Roman"/>
          <w:color w:val="4F81BD" w:themeColor="accent1"/>
          <w:sz w:val="24"/>
          <w:szCs w:val="24"/>
        </w:rPr>
        <w:t xml:space="preserve"> above has been met.  For example, a parish school board</w:t>
      </w:r>
      <w:r w:rsidR="005F3103">
        <w:rPr>
          <w:rFonts w:ascii="Times New Roman" w:hAnsi="Times New Roman" w:cs="Times New Roman"/>
          <w:color w:val="4F81BD" w:themeColor="accent1"/>
          <w:sz w:val="24"/>
          <w:szCs w:val="24"/>
        </w:rPr>
        <w:t xml:space="preserve"> with public funds of $500,000 or greater</w:t>
      </w:r>
      <w:r>
        <w:rPr>
          <w:rFonts w:ascii="Times New Roman" w:hAnsi="Times New Roman" w:cs="Times New Roman"/>
          <w:color w:val="4F81BD" w:themeColor="accent1"/>
          <w:sz w:val="24"/>
          <w:szCs w:val="24"/>
        </w:rPr>
        <w:t xml:space="preserve"> would be subject to both the statewide AUPs and the Department of Education Performance Measures AUPs.</w:t>
      </w:r>
    </w:p>
    <w:p w:rsidR="00D774E0" w:rsidRPr="000A23CC" w:rsidRDefault="00D774E0" w:rsidP="00D774E0">
      <w:pPr>
        <w:pStyle w:val="ListParagraph"/>
        <w:numPr>
          <w:ilvl w:val="0"/>
          <w:numId w:val="9"/>
        </w:numPr>
        <w:contextualSpacing w:val="0"/>
        <w:jc w:val="both"/>
        <w:rPr>
          <w:rFonts w:ascii="Times New Roman" w:hAnsi="Times New Roman" w:cs="Times New Roman"/>
          <w:sz w:val="24"/>
          <w:szCs w:val="24"/>
        </w:rPr>
      </w:pPr>
      <w:r>
        <w:rPr>
          <w:rFonts w:ascii="Times New Roman" w:hAnsi="Times New Roman" w:cs="Times New Roman"/>
          <w:sz w:val="24"/>
          <w:szCs w:val="24"/>
        </w:rPr>
        <w:t>The LLA notes that “the entity may exclude those AUP categories that are covered under federal program testing, regardless of whether the federal program testing includes the same procedures or sample sizes.”  If a practitioner has a client with only 30% of its public funds subject to major program testing, does the practitioner still have to test the related AUP categories for the remaining 70% of its public funds?</w:t>
      </w:r>
    </w:p>
    <w:p w:rsidR="005F3103" w:rsidRPr="003453F7" w:rsidRDefault="003453F7" w:rsidP="003453F7">
      <w:pPr>
        <w:pStyle w:val="ListParagraph"/>
        <w:numPr>
          <w:ilvl w:val="1"/>
          <w:numId w:val="9"/>
        </w:numPr>
        <w:contextualSpacing w:val="0"/>
        <w:jc w:val="both"/>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Yes.  Our intention was to reduce redundant Single Audit testing and provide efficiencies for the practitioner; however, we did not intend to completely eliminate testing for those categories that include local, state, or non-major federal funds.  We recommend selecting sample sizes for the applicable categories from the overall population of all transactions and then removing those sa</w:t>
      </w:r>
      <w:r w:rsidR="0038702F">
        <w:rPr>
          <w:rFonts w:ascii="Times New Roman" w:hAnsi="Times New Roman" w:cs="Times New Roman"/>
          <w:color w:val="4F81BD" w:themeColor="accent1"/>
          <w:sz w:val="24"/>
          <w:szCs w:val="24"/>
        </w:rPr>
        <w:t xml:space="preserve">mple items that fall within </w:t>
      </w:r>
      <w:r>
        <w:rPr>
          <w:rFonts w:ascii="Times New Roman" w:hAnsi="Times New Roman" w:cs="Times New Roman"/>
          <w:color w:val="4F81BD" w:themeColor="accent1"/>
          <w:sz w:val="24"/>
          <w:szCs w:val="24"/>
        </w:rPr>
        <w:t>Single Audit testing.  Alternatively, the practitioner could apply a pro-rata ratio (70% in the example above) to the AUP sample sizes to accomplish the same goal.</w:t>
      </w:r>
    </w:p>
    <w:p w:rsidR="002D4BCD" w:rsidRDefault="002D4BCD" w:rsidP="00C11B13">
      <w:pPr>
        <w:jc w:val="both"/>
        <w:rPr>
          <w:rFonts w:ascii="Times New Roman" w:hAnsi="Times New Roman" w:cs="Times New Roman"/>
          <w:b/>
          <w:i/>
          <w:sz w:val="28"/>
          <w:szCs w:val="28"/>
          <w:u w:val="single"/>
        </w:rPr>
      </w:pPr>
    </w:p>
    <w:p w:rsidR="00C50F5D" w:rsidRDefault="0016426B" w:rsidP="00C11B13">
      <w:pPr>
        <w:jc w:val="both"/>
        <w:rPr>
          <w:rFonts w:ascii="Times New Roman" w:hAnsi="Times New Roman" w:cs="Times New Roman"/>
          <w:b/>
          <w:i/>
          <w:sz w:val="28"/>
          <w:szCs w:val="28"/>
          <w:u w:val="single"/>
        </w:rPr>
      </w:pPr>
      <w:r>
        <w:rPr>
          <w:rFonts w:ascii="Times New Roman" w:hAnsi="Times New Roman" w:cs="Times New Roman"/>
          <w:b/>
          <w:i/>
          <w:sz w:val="28"/>
          <w:szCs w:val="28"/>
          <w:u w:val="single"/>
        </w:rPr>
        <w:t>Rotation of Procedures</w:t>
      </w:r>
    </w:p>
    <w:p w:rsidR="000A23CC" w:rsidRPr="000A23CC" w:rsidRDefault="0016426B" w:rsidP="000A23CC">
      <w:pPr>
        <w:pStyle w:val="ListParagraph"/>
        <w:numPr>
          <w:ilvl w:val="0"/>
          <w:numId w:val="9"/>
        </w:numPr>
        <w:contextualSpacing w:val="0"/>
        <w:jc w:val="both"/>
        <w:rPr>
          <w:rFonts w:ascii="Times New Roman" w:hAnsi="Times New Roman" w:cs="Times New Roman"/>
          <w:sz w:val="24"/>
          <w:szCs w:val="24"/>
        </w:rPr>
      </w:pPr>
      <w:r>
        <w:rPr>
          <w:rFonts w:ascii="Times New Roman" w:hAnsi="Times New Roman" w:cs="Times New Roman"/>
          <w:sz w:val="24"/>
          <w:szCs w:val="24"/>
        </w:rPr>
        <w:t>For those categories that are rotated in Year 2, should the practitioner’s report include those categories that are not tested (e.g., labeled as “not applicable”), or should those categories be excluded from the AUP report?</w:t>
      </w:r>
    </w:p>
    <w:p w:rsidR="002E391F" w:rsidRDefault="0016426B" w:rsidP="002E391F">
      <w:pPr>
        <w:pStyle w:val="ListParagraph"/>
        <w:numPr>
          <w:ilvl w:val="1"/>
          <w:numId w:val="9"/>
        </w:numPr>
        <w:contextualSpacing w:val="0"/>
        <w:jc w:val="both"/>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We will accept the report in either format but would prefer that the practitioner exclude rotated categories from the AUP report.  Under either option, the practitioner may need to update the AUP engagement agreement to ensure that the original procedures “agreed-upon” with the client match the final procedures perfo</w:t>
      </w:r>
      <w:r w:rsidR="00021331">
        <w:rPr>
          <w:rFonts w:ascii="Times New Roman" w:hAnsi="Times New Roman" w:cs="Times New Roman"/>
          <w:color w:val="4F81BD" w:themeColor="accent1"/>
          <w:sz w:val="24"/>
          <w:szCs w:val="24"/>
        </w:rPr>
        <w:t>rmed and reported upon</w:t>
      </w:r>
      <w:r w:rsidR="00F07FFB">
        <w:rPr>
          <w:rFonts w:ascii="Times New Roman" w:hAnsi="Times New Roman" w:cs="Times New Roman"/>
          <w:color w:val="4F81BD" w:themeColor="accent1"/>
          <w:sz w:val="24"/>
          <w:szCs w:val="24"/>
        </w:rPr>
        <w:t xml:space="preserve"> (i.e., ensuring</w:t>
      </w:r>
      <w:r w:rsidR="006E54EA">
        <w:rPr>
          <w:rFonts w:ascii="Times New Roman" w:hAnsi="Times New Roman" w:cs="Times New Roman"/>
          <w:color w:val="4F81BD" w:themeColor="accent1"/>
          <w:sz w:val="24"/>
          <w:szCs w:val="24"/>
        </w:rPr>
        <w:t xml:space="preserve"> compliance with AT standards)</w:t>
      </w:r>
      <w:r w:rsidR="000A23CC" w:rsidRPr="000A23CC">
        <w:rPr>
          <w:rFonts w:ascii="Times New Roman" w:hAnsi="Times New Roman" w:cs="Times New Roman"/>
          <w:color w:val="4F81BD" w:themeColor="accent1"/>
          <w:sz w:val="24"/>
          <w:szCs w:val="24"/>
        </w:rPr>
        <w:t>.</w:t>
      </w:r>
    </w:p>
    <w:p w:rsidR="002E391F" w:rsidRPr="002E391F" w:rsidRDefault="00021331" w:rsidP="002E391F">
      <w:pPr>
        <w:pStyle w:val="ListParagraph"/>
        <w:numPr>
          <w:ilvl w:val="0"/>
          <w:numId w:val="9"/>
        </w:numPr>
        <w:contextualSpacing w:val="0"/>
        <w:jc w:val="both"/>
        <w:rPr>
          <w:rFonts w:ascii="Times New Roman" w:hAnsi="Times New Roman" w:cs="Times New Roman"/>
          <w:sz w:val="24"/>
          <w:szCs w:val="24"/>
        </w:rPr>
      </w:pPr>
      <w:r>
        <w:rPr>
          <w:rFonts w:ascii="Times New Roman" w:hAnsi="Times New Roman" w:cs="Times New Roman"/>
          <w:sz w:val="24"/>
          <w:szCs w:val="24"/>
        </w:rPr>
        <w:t>If the practitioner only noted one exception for one procedure in a category, is the practitioner still required to retest the entire category for Year 2?</w:t>
      </w:r>
    </w:p>
    <w:p w:rsidR="002E391F" w:rsidRPr="002E391F" w:rsidRDefault="00021331" w:rsidP="002E391F">
      <w:pPr>
        <w:pStyle w:val="ListParagraph"/>
        <w:numPr>
          <w:ilvl w:val="1"/>
          <w:numId w:val="9"/>
        </w:numPr>
        <w:contextualSpacing w:val="0"/>
        <w:jc w:val="both"/>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Yes, the entire category must be retested.  The Year 2 option to rotate is at the “category-level” rather than the “procedure-level.”</w:t>
      </w:r>
    </w:p>
    <w:p w:rsidR="000921AF" w:rsidRPr="002E391F" w:rsidRDefault="000921AF" w:rsidP="000921AF">
      <w:pPr>
        <w:pStyle w:val="ListParagraph"/>
        <w:numPr>
          <w:ilvl w:val="0"/>
          <w:numId w:val="9"/>
        </w:numPr>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If the practitioner did not identify any exceptions</w:t>
      </w:r>
      <w:r w:rsidR="00F07FFB">
        <w:rPr>
          <w:rFonts w:ascii="Times New Roman" w:hAnsi="Times New Roman" w:cs="Times New Roman"/>
          <w:sz w:val="24"/>
          <w:szCs w:val="24"/>
        </w:rPr>
        <w:t xml:space="preserve"> (or had compensating controls that fully mitigated the underlying control risk)</w:t>
      </w:r>
      <w:r>
        <w:rPr>
          <w:rFonts w:ascii="Times New Roman" w:hAnsi="Times New Roman" w:cs="Times New Roman"/>
          <w:sz w:val="24"/>
          <w:szCs w:val="24"/>
        </w:rPr>
        <w:t xml:space="preserve"> in any categories in Year 1 for one of its clients, are statewide AUPs required to be performed for that entity for Year 2?</w:t>
      </w:r>
    </w:p>
    <w:p w:rsidR="000921AF" w:rsidRPr="002E391F" w:rsidRDefault="000921AF" w:rsidP="000921AF">
      <w:pPr>
        <w:pStyle w:val="ListParagraph"/>
        <w:numPr>
          <w:ilvl w:val="1"/>
          <w:numId w:val="9"/>
        </w:numPr>
        <w:contextualSpacing w:val="0"/>
        <w:jc w:val="both"/>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 xml:space="preserve">No, the LLA would not expect to receive a statewide AUP report for that entity in Year 2.  When submitting the audit report packet to the LLA, the practitioner </w:t>
      </w:r>
      <w:r w:rsidR="005F3103">
        <w:rPr>
          <w:rFonts w:ascii="Times New Roman" w:hAnsi="Times New Roman" w:cs="Times New Roman"/>
          <w:color w:val="4F81BD" w:themeColor="accent1"/>
          <w:sz w:val="24"/>
          <w:szCs w:val="24"/>
        </w:rPr>
        <w:t>sh</w:t>
      </w:r>
      <w:r>
        <w:rPr>
          <w:rFonts w:ascii="Times New Roman" w:hAnsi="Times New Roman" w:cs="Times New Roman"/>
          <w:color w:val="4F81BD" w:themeColor="accent1"/>
          <w:sz w:val="24"/>
          <w:szCs w:val="24"/>
        </w:rPr>
        <w:t>ould check the button in the LLA report portal indicating that sta</w:t>
      </w:r>
      <w:r w:rsidR="00E87389">
        <w:rPr>
          <w:rFonts w:ascii="Times New Roman" w:hAnsi="Times New Roman" w:cs="Times New Roman"/>
          <w:color w:val="4F81BD" w:themeColor="accent1"/>
          <w:sz w:val="24"/>
          <w:szCs w:val="24"/>
        </w:rPr>
        <w:t>tewide AUPs were not required.</w:t>
      </w:r>
    </w:p>
    <w:p w:rsidR="004812F4" w:rsidRPr="004812F4" w:rsidRDefault="00E87389" w:rsidP="00E87389">
      <w:pPr>
        <w:pStyle w:val="ListParagraph"/>
        <w:numPr>
          <w:ilvl w:val="0"/>
          <w:numId w:val="9"/>
        </w:numPr>
        <w:contextualSpacing w:val="0"/>
        <w:jc w:val="both"/>
        <w:rPr>
          <w:rFonts w:ascii="Times New Roman" w:hAnsi="Times New Roman" w:cs="Times New Roman"/>
          <w:sz w:val="24"/>
          <w:szCs w:val="24"/>
        </w:rPr>
      </w:pPr>
      <w:r>
        <w:rPr>
          <w:rFonts w:ascii="Times New Roman" w:hAnsi="Times New Roman" w:cs="Times New Roman"/>
          <w:sz w:val="24"/>
          <w:szCs w:val="24"/>
        </w:rPr>
        <w:t>Does a change in auditor in Year 2 have an impact on rotating categories?</w:t>
      </w:r>
    </w:p>
    <w:p w:rsidR="004812F4" w:rsidRDefault="00F07FFB" w:rsidP="00E87389">
      <w:pPr>
        <w:pStyle w:val="ListParagraph"/>
        <w:numPr>
          <w:ilvl w:val="1"/>
          <w:numId w:val="9"/>
        </w:numPr>
        <w:contextualSpacing w:val="0"/>
        <w:jc w:val="both"/>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No, i</w:t>
      </w:r>
      <w:r w:rsidR="00E87389">
        <w:rPr>
          <w:rFonts w:ascii="Times New Roman" w:hAnsi="Times New Roman" w:cs="Times New Roman"/>
          <w:color w:val="4F81BD" w:themeColor="accent1"/>
          <w:sz w:val="24"/>
          <w:szCs w:val="24"/>
        </w:rPr>
        <w:t>f the predecessor</w:t>
      </w:r>
      <w:r w:rsidR="005F3103">
        <w:rPr>
          <w:rFonts w:ascii="Times New Roman" w:hAnsi="Times New Roman" w:cs="Times New Roman"/>
          <w:color w:val="4F81BD" w:themeColor="accent1"/>
          <w:sz w:val="24"/>
          <w:szCs w:val="24"/>
        </w:rPr>
        <w:t xml:space="preserve"> practitioner</w:t>
      </w:r>
      <w:r w:rsidR="00E87389">
        <w:rPr>
          <w:rFonts w:ascii="Times New Roman" w:hAnsi="Times New Roman" w:cs="Times New Roman"/>
          <w:color w:val="4F81BD" w:themeColor="accent1"/>
          <w:sz w:val="24"/>
          <w:szCs w:val="24"/>
        </w:rPr>
        <w:t xml:space="preserve"> did not identify any exceptions in one or </w:t>
      </w:r>
      <w:r w:rsidR="004D32A5">
        <w:rPr>
          <w:rFonts w:ascii="Times New Roman" w:hAnsi="Times New Roman" w:cs="Times New Roman"/>
          <w:color w:val="4F81BD" w:themeColor="accent1"/>
          <w:sz w:val="24"/>
          <w:szCs w:val="24"/>
        </w:rPr>
        <w:t>more categories at a client in Y</w:t>
      </w:r>
      <w:r w:rsidR="00E87389">
        <w:rPr>
          <w:rFonts w:ascii="Times New Roman" w:hAnsi="Times New Roman" w:cs="Times New Roman"/>
          <w:color w:val="4F81BD" w:themeColor="accent1"/>
          <w:sz w:val="24"/>
          <w:szCs w:val="24"/>
        </w:rPr>
        <w:t xml:space="preserve">ear 1, the Year 2 </w:t>
      </w:r>
      <w:r w:rsidR="005F3103">
        <w:rPr>
          <w:rFonts w:ascii="Times New Roman" w:hAnsi="Times New Roman" w:cs="Times New Roman"/>
          <w:color w:val="4F81BD" w:themeColor="accent1"/>
          <w:sz w:val="24"/>
          <w:szCs w:val="24"/>
        </w:rPr>
        <w:t>practitioner</w:t>
      </w:r>
      <w:r w:rsidR="00E87389">
        <w:rPr>
          <w:rFonts w:ascii="Times New Roman" w:hAnsi="Times New Roman" w:cs="Times New Roman"/>
          <w:color w:val="4F81BD" w:themeColor="accent1"/>
          <w:sz w:val="24"/>
          <w:szCs w:val="24"/>
        </w:rPr>
        <w:t xml:space="preserve"> is not required to retest those categories</w:t>
      </w:r>
      <w:r w:rsidR="004812F4" w:rsidRPr="004812F4">
        <w:rPr>
          <w:rFonts w:ascii="Times New Roman" w:hAnsi="Times New Roman" w:cs="Times New Roman"/>
          <w:color w:val="4F81BD" w:themeColor="accent1"/>
          <w:sz w:val="24"/>
          <w:szCs w:val="24"/>
        </w:rPr>
        <w:t>.</w:t>
      </w:r>
    </w:p>
    <w:p w:rsidR="004D32A5" w:rsidRDefault="004D32A5" w:rsidP="004D32A5">
      <w:pPr>
        <w:pStyle w:val="ListParagraph"/>
        <w:numPr>
          <w:ilvl w:val="0"/>
          <w:numId w:val="9"/>
        </w:numPr>
        <w:contextualSpacing w:val="0"/>
        <w:jc w:val="both"/>
        <w:rPr>
          <w:rFonts w:ascii="Times New Roman" w:hAnsi="Times New Roman" w:cs="Times New Roman"/>
          <w:sz w:val="24"/>
          <w:szCs w:val="24"/>
        </w:rPr>
      </w:pPr>
      <w:r>
        <w:rPr>
          <w:rFonts w:ascii="Times New Roman" w:hAnsi="Times New Roman" w:cs="Times New Roman"/>
          <w:sz w:val="24"/>
          <w:szCs w:val="24"/>
        </w:rPr>
        <w:t>If an agency had no debt in a prior year (i.e. debt category was “not applicable”) but issued debt during the current year, can the practitioner rotate the category because there no exceptions noted in the prior year AUPs?</w:t>
      </w:r>
    </w:p>
    <w:p w:rsidR="004D32A5" w:rsidRDefault="004D32A5" w:rsidP="004D32A5">
      <w:pPr>
        <w:pStyle w:val="ListParagraph"/>
        <w:numPr>
          <w:ilvl w:val="1"/>
          <w:numId w:val="9"/>
        </w:numPr>
        <w:contextualSpacing w:val="0"/>
        <w:jc w:val="both"/>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No, if a category was not applicable in Year 1, but is applicable in Year 2, then the practitioner must test the category in Year 2.</w:t>
      </w:r>
    </w:p>
    <w:p w:rsidR="008B5212" w:rsidRDefault="008B5212" w:rsidP="008B5212">
      <w:pPr>
        <w:pStyle w:val="ListParagraph"/>
        <w:numPr>
          <w:ilvl w:val="0"/>
          <w:numId w:val="9"/>
        </w:numPr>
        <w:contextualSpacing w:val="0"/>
        <w:jc w:val="both"/>
        <w:rPr>
          <w:rFonts w:ascii="Times New Roman" w:hAnsi="Times New Roman" w:cs="Times New Roman"/>
          <w:sz w:val="24"/>
          <w:szCs w:val="24"/>
        </w:rPr>
      </w:pPr>
      <w:r>
        <w:rPr>
          <w:rFonts w:ascii="Times New Roman" w:hAnsi="Times New Roman" w:cs="Times New Roman"/>
          <w:sz w:val="24"/>
          <w:szCs w:val="24"/>
        </w:rPr>
        <w:t xml:space="preserve">If the only exception in the Collections category in Year 1 related to deposits that were not made within one day of collection, and the </w:t>
      </w:r>
      <w:r w:rsidR="002D4BCD">
        <w:rPr>
          <w:rFonts w:ascii="Times New Roman" w:hAnsi="Times New Roman" w:cs="Times New Roman"/>
          <w:sz w:val="24"/>
          <w:szCs w:val="24"/>
        </w:rPr>
        <w:t>deposits would have met the timely deposit criteria for Year 2 (i.e., within one week if the depository is more than 10 miles from the collection location or the deposit is less than $100), can the Collections category be rotated in Year 2?</w:t>
      </w:r>
    </w:p>
    <w:p w:rsidR="002D4BCD" w:rsidRPr="002D4BCD" w:rsidRDefault="002D4BCD" w:rsidP="002D4BCD">
      <w:pPr>
        <w:pStyle w:val="ListParagraph"/>
        <w:numPr>
          <w:ilvl w:val="1"/>
          <w:numId w:val="9"/>
        </w:numPr>
        <w:contextualSpacing w:val="0"/>
        <w:jc w:val="both"/>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Yes, the category can be rotated in those situations that would not constitute an exception in Year 2.</w:t>
      </w:r>
    </w:p>
    <w:p w:rsidR="002D4BCD" w:rsidRDefault="002D4BCD" w:rsidP="007B4C75">
      <w:pPr>
        <w:spacing w:after="240"/>
        <w:jc w:val="both"/>
        <w:rPr>
          <w:rFonts w:ascii="Times New Roman" w:hAnsi="Times New Roman" w:cs="Times New Roman"/>
          <w:b/>
          <w:i/>
          <w:sz w:val="28"/>
          <w:szCs w:val="28"/>
          <w:u w:val="single"/>
        </w:rPr>
      </w:pPr>
    </w:p>
    <w:p w:rsidR="00C50F5D" w:rsidRDefault="00C50F5D" w:rsidP="007B4C75">
      <w:pPr>
        <w:spacing w:after="240"/>
        <w:jc w:val="both"/>
        <w:rPr>
          <w:rFonts w:ascii="Times New Roman" w:hAnsi="Times New Roman" w:cs="Times New Roman"/>
          <w:b/>
          <w:i/>
          <w:sz w:val="28"/>
          <w:szCs w:val="28"/>
          <w:u w:val="single"/>
        </w:rPr>
      </w:pPr>
      <w:r w:rsidRPr="007B4C75">
        <w:rPr>
          <w:rFonts w:ascii="Times New Roman" w:hAnsi="Times New Roman" w:cs="Times New Roman"/>
          <w:b/>
          <w:i/>
          <w:sz w:val="28"/>
          <w:szCs w:val="28"/>
          <w:u w:val="single"/>
        </w:rPr>
        <w:t>Collections</w:t>
      </w:r>
    </w:p>
    <w:p w:rsidR="00300128" w:rsidRDefault="00300128" w:rsidP="00214C32">
      <w:pPr>
        <w:pStyle w:val="ListParagraph"/>
        <w:numPr>
          <w:ilvl w:val="0"/>
          <w:numId w:val="9"/>
        </w:numPr>
        <w:contextualSpacing w:val="0"/>
        <w:jc w:val="both"/>
        <w:rPr>
          <w:rFonts w:ascii="Times New Roman" w:hAnsi="Times New Roman" w:cs="Times New Roman"/>
          <w:sz w:val="24"/>
          <w:szCs w:val="24"/>
        </w:rPr>
      </w:pPr>
      <w:r>
        <w:rPr>
          <w:rFonts w:ascii="Times New Roman" w:hAnsi="Times New Roman" w:cs="Times New Roman"/>
          <w:sz w:val="24"/>
          <w:szCs w:val="24"/>
        </w:rPr>
        <w:t>D</w:t>
      </w:r>
      <w:r w:rsidRPr="00300128">
        <w:rPr>
          <w:rFonts w:ascii="Times New Roman" w:hAnsi="Times New Roman" w:cs="Times New Roman"/>
          <w:sz w:val="24"/>
          <w:szCs w:val="24"/>
        </w:rPr>
        <w:t xml:space="preserve">o the </w:t>
      </w:r>
      <w:r w:rsidR="00214C32">
        <w:rPr>
          <w:rFonts w:ascii="Times New Roman" w:hAnsi="Times New Roman" w:cs="Times New Roman"/>
          <w:sz w:val="24"/>
          <w:szCs w:val="24"/>
        </w:rPr>
        <w:t>Collections procedures apply to electronic receipts, such as EFTs?</w:t>
      </w:r>
    </w:p>
    <w:p w:rsidR="00300128" w:rsidRDefault="00214C32" w:rsidP="00214C32">
      <w:pPr>
        <w:pStyle w:val="ListParagraph"/>
        <w:numPr>
          <w:ilvl w:val="1"/>
          <w:numId w:val="9"/>
        </w:numPr>
        <w:contextualSpacing w:val="0"/>
        <w:jc w:val="both"/>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No.  Collections procedures</w:t>
      </w:r>
      <w:r w:rsidR="005868A3">
        <w:rPr>
          <w:rFonts w:ascii="Times New Roman" w:hAnsi="Times New Roman" w:cs="Times New Roman"/>
          <w:color w:val="4F81BD" w:themeColor="accent1"/>
          <w:sz w:val="24"/>
          <w:szCs w:val="24"/>
        </w:rPr>
        <w:t xml:space="preserve"> are limited</w:t>
      </w:r>
      <w:r>
        <w:rPr>
          <w:rFonts w:ascii="Times New Roman" w:hAnsi="Times New Roman" w:cs="Times New Roman"/>
          <w:color w:val="4F81BD" w:themeColor="accent1"/>
          <w:sz w:val="24"/>
          <w:szCs w:val="24"/>
        </w:rPr>
        <w:t xml:space="preserve"> to cash, checks, and money orders</w:t>
      </w:r>
      <w:r w:rsidR="00300128" w:rsidRPr="00300128">
        <w:rPr>
          <w:rFonts w:ascii="Times New Roman" w:hAnsi="Times New Roman" w:cs="Times New Roman"/>
          <w:color w:val="4F81BD" w:themeColor="accent1"/>
          <w:sz w:val="24"/>
          <w:szCs w:val="24"/>
        </w:rPr>
        <w:t>.</w:t>
      </w:r>
    </w:p>
    <w:p w:rsidR="00C9579A" w:rsidRPr="00C9579A" w:rsidRDefault="00694810" w:rsidP="00694810">
      <w:pPr>
        <w:pStyle w:val="ListParagraph"/>
        <w:numPr>
          <w:ilvl w:val="0"/>
          <w:numId w:val="9"/>
        </w:numPr>
        <w:contextualSpacing w:val="0"/>
        <w:jc w:val="both"/>
        <w:rPr>
          <w:rFonts w:ascii="Times New Roman" w:hAnsi="Times New Roman" w:cs="Times New Roman"/>
          <w:sz w:val="24"/>
          <w:szCs w:val="24"/>
        </w:rPr>
      </w:pPr>
      <w:r>
        <w:rPr>
          <w:rFonts w:ascii="Times New Roman" w:hAnsi="Times New Roman" w:cs="Times New Roman"/>
          <w:sz w:val="24"/>
          <w:szCs w:val="24"/>
        </w:rPr>
        <w:t>If an entity has a 3</w:t>
      </w:r>
      <w:r w:rsidRPr="00694810">
        <w:rPr>
          <w:rFonts w:ascii="Times New Roman" w:hAnsi="Times New Roman" w:cs="Times New Roman"/>
          <w:sz w:val="24"/>
          <w:szCs w:val="24"/>
        </w:rPr>
        <w:t>rd</w:t>
      </w:r>
      <w:r>
        <w:rPr>
          <w:rFonts w:ascii="Times New Roman" w:hAnsi="Times New Roman" w:cs="Times New Roman"/>
          <w:sz w:val="24"/>
          <w:szCs w:val="24"/>
        </w:rPr>
        <w:t xml:space="preserve"> party contractor performing </w:t>
      </w:r>
      <w:r w:rsidR="005F3103">
        <w:rPr>
          <w:rFonts w:ascii="Times New Roman" w:hAnsi="Times New Roman" w:cs="Times New Roman"/>
          <w:sz w:val="24"/>
          <w:szCs w:val="24"/>
        </w:rPr>
        <w:t xml:space="preserve">all </w:t>
      </w:r>
      <w:r>
        <w:rPr>
          <w:rFonts w:ascii="Times New Roman" w:hAnsi="Times New Roman" w:cs="Times New Roman"/>
          <w:sz w:val="24"/>
          <w:szCs w:val="24"/>
        </w:rPr>
        <w:t>collection functions (receiving collections</w:t>
      </w:r>
      <w:r w:rsidR="00F07FFB">
        <w:rPr>
          <w:rFonts w:ascii="Times New Roman" w:hAnsi="Times New Roman" w:cs="Times New Roman"/>
          <w:sz w:val="24"/>
          <w:szCs w:val="24"/>
        </w:rPr>
        <w:t>, preparing deposits,</w:t>
      </w:r>
      <w:r>
        <w:rPr>
          <w:rFonts w:ascii="Times New Roman" w:hAnsi="Times New Roman" w:cs="Times New Roman"/>
          <w:sz w:val="24"/>
          <w:szCs w:val="24"/>
        </w:rPr>
        <w:t xml:space="preserve"> and making deposits), is the practitioner required to </w:t>
      </w:r>
      <w:r w:rsidR="00F07FFB">
        <w:rPr>
          <w:rFonts w:ascii="Times New Roman" w:hAnsi="Times New Roman" w:cs="Times New Roman"/>
          <w:sz w:val="24"/>
          <w:szCs w:val="24"/>
        </w:rPr>
        <w:t>perform the related Collections procedures</w:t>
      </w:r>
      <w:r>
        <w:rPr>
          <w:rFonts w:ascii="Times New Roman" w:hAnsi="Times New Roman" w:cs="Times New Roman"/>
          <w:sz w:val="24"/>
          <w:szCs w:val="24"/>
        </w:rPr>
        <w:t>?</w:t>
      </w:r>
    </w:p>
    <w:p w:rsidR="00C9579A" w:rsidRDefault="00694810" w:rsidP="00CE022A">
      <w:pPr>
        <w:pStyle w:val="ListParagraph"/>
        <w:numPr>
          <w:ilvl w:val="1"/>
          <w:numId w:val="9"/>
        </w:numPr>
        <w:contextualSpacing w:val="0"/>
        <w:jc w:val="both"/>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No, th</w:t>
      </w:r>
      <w:r w:rsidR="00F07FFB">
        <w:rPr>
          <w:rFonts w:ascii="Times New Roman" w:hAnsi="Times New Roman" w:cs="Times New Roman"/>
          <w:color w:val="4F81BD" w:themeColor="accent1"/>
          <w:sz w:val="24"/>
          <w:szCs w:val="24"/>
        </w:rPr>
        <w:t>e related procedures</w:t>
      </w:r>
      <w:r>
        <w:rPr>
          <w:rFonts w:ascii="Times New Roman" w:hAnsi="Times New Roman" w:cs="Times New Roman"/>
          <w:color w:val="4F81BD" w:themeColor="accent1"/>
          <w:sz w:val="24"/>
          <w:szCs w:val="24"/>
        </w:rPr>
        <w:t xml:space="preserve"> would not be required to be tested at the entity.</w:t>
      </w:r>
    </w:p>
    <w:p w:rsidR="002D4BCD" w:rsidRDefault="002D4BCD" w:rsidP="007B4C75">
      <w:pPr>
        <w:spacing w:after="240"/>
        <w:jc w:val="both"/>
        <w:rPr>
          <w:rFonts w:ascii="Times New Roman" w:hAnsi="Times New Roman" w:cs="Times New Roman"/>
          <w:b/>
          <w:i/>
          <w:sz w:val="28"/>
          <w:szCs w:val="28"/>
          <w:u w:val="single"/>
        </w:rPr>
      </w:pPr>
    </w:p>
    <w:p w:rsidR="00C50F5D" w:rsidRDefault="00C50F5D" w:rsidP="007B4C75">
      <w:pPr>
        <w:spacing w:after="240"/>
        <w:jc w:val="both"/>
        <w:rPr>
          <w:rFonts w:ascii="Times New Roman" w:hAnsi="Times New Roman" w:cs="Times New Roman"/>
          <w:b/>
          <w:i/>
          <w:sz w:val="28"/>
          <w:szCs w:val="28"/>
          <w:u w:val="single"/>
        </w:rPr>
      </w:pPr>
      <w:r w:rsidRPr="007B4C75">
        <w:rPr>
          <w:rFonts w:ascii="Times New Roman" w:hAnsi="Times New Roman" w:cs="Times New Roman"/>
          <w:b/>
          <w:i/>
          <w:sz w:val="28"/>
          <w:szCs w:val="28"/>
          <w:u w:val="single"/>
        </w:rPr>
        <w:lastRenderedPageBreak/>
        <w:t>Disbursements – General</w:t>
      </w:r>
    </w:p>
    <w:p w:rsidR="007C7326" w:rsidRDefault="00CE022A" w:rsidP="00CE022A">
      <w:pPr>
        <w:pStyle w:val="ListParagraph"/>
        <w:numPr>
          <w:ilvl w:val="0"/>
          <w:numId w:val="9"/>
        </w:numPr>
        <w:contextualSpacing w:val="0"/>
        <w:jc w:val="both"/>
        <w:rPr>
          <w:rFonts w:ascii="Times New Roman" w:hAnsi="Times New Roman" w:cs="Times New Roman"/>
          <w:sz w:val="24"/>
          <w:szCs w:val="24"/>
        </w:rPr>
      </w:pPr>
      <w:r>
        <w:rPr>
          <w:rFonts w:ascii="Times New Roman" w:hAnsi="Times New Roman" w:cs="Times New Roman"/>
          <w:sz w:val="24"/>
          <w:szCs w:val="24"/>
        </w:rPr>
        <w:t>Under the Credit Cards category, the LLA notes that “requiring such approval may constrain the legal authority of certain public officials; these instances should not be reported.”  Does the same approval exclusion apply to the Disbursements category as well?</w:t>
      </w:r>
    </w:p>
    <w:p w:rsidR="007C7326" w:rsidRPr="007C7326" w:rsidRDefault="007C7326" w:rsidP="00526928">
      <w:pPr>
        <w:pStyle w:val="ListParagraph"/>
        <w:numPr>
          <w:ilvl w:val="1"/>
          <w:numId w:val="9"/>
        </w:numPr>
        <w:contextualSpacing w:val="0"/>
        <w:jc w:val="both"/>
        <w:rPr>
          <w:rFonts w:ascii="Times New Roman" w:hAnsi="Times New Roman" w:cs="Times New Roman"/>
          <w:color w:val="4F81BD" w:themeColor="accent1"/>
          <w:sz w:val="24"/>
          <w:szCs w:val="24"/>
        </w:rPr>
      </w:pPr>
      <w:r w:rsidRPr="007C7326">
        <w:rPr>
          <w:rFonts w:ascii="Times New Roman" w:hAnsi="Times New Roman" w:cs="Times New Roman"/>
          <w:color w:val="4F81BD" w:themeColor="accent1"/>
          <w:sz w:val="24"/>
          <w:szCs w:val="24"/>
        </w:rPr>
        <w:t xml:space="preserve">Yes, this provision would apply to disbursements as well. </w:t>
      </w:r>
      <w:r w:rsidR="005F3103">
        <w:rPr>
          <w:rFonts w:ascii="Times New Roman" w:hAnsi="Times New Roman" w:cs="Times New Roman"/>
          <w:color w:val="4F81BD" w:themeColor="accent1"/>
          <w:sz w:val="24"/>
          <w:szCs w:val="24"/>
        </w:rPr>
        <w:t xml:space="preserve"> </w:t>
      </w:r>
      <w:r w:rsidRPr="007C7326">
        <w:rPr>
          <w:rFonts w:ascii="Times New Roman" w:hAnsi="Times New Roman" w:cs="Times New Roman"/>
          <w:color w:val="4F81BD" w:themeColor="accent1"/>
          <w:sz w:val="24"/>
          <w:szCs w:val="24"/>
        </w:rPr>
        <w:t>We would not expect an elected mayor to need board approval for routine transactions, nor would we expect an elected police chief to need an elected mayor's approval for</w:t>
      </w:r>
      <w:r w:rsidR="00CE022A">
        <w:rPr>
          <w:rFonts w:ascii="Times New Roman" w:hAnsi="Times New Roman" w:cs="Times New Roman"/>
          <w:color w:val="4F81BD" w:themeColor="accent1"/>
          <w:sz w:val="24"/>
          <w:szCs w:val="24"/>
        </w:rPr>
        <w:t xml:space="preserve"> routine transactions.  Any procedure</w:t>
      </w:r>
      <w:r w:rsidRPr="007C7326">
        <w:rPr>
          <w:rFonts w:ascii="Times New Roman" w:hAnsi="Times New Roman" w:cs="Times New Roman"/>
          <w:color w:val="4F81BD" w:themeColor="accent1"/>
          <w:sz w:val="24"/>
          <w:szCs w:val="24"/>
        </w:rPr>
        <w:t xml:space="preserve"> that </w:t>
      </w:r>
      <w:r w:rsidR="00CE022A">
        <w:rPr>
          <w:rFonts w:ascii="Times New Roman" w:hAnsi="Times New Roman" w:cs="Times New Roman"/>
          <w:color w:val="4F81BD" w:themeColor="accent1"/>
          <w:sz w:val="24"/>
          <w:szCs w:val="24"/>
        </w:rPr>
        <w:t>would infringe</w:t>
      </w:r>
      <w:r w:rsidRPr="007C7326">
        <w:rPr>
          <w:rFonts w:ascii="Times New Roman" w:hAnsi="Times New Roman" w:cs="Times New Roman"/>
          <w:color w:val="4F81BD" w:themeColor="accent1"/>
          <w:sz w:val="24"/>
          <w:szCs w:val="24"/>
        </w:rPr>
        <w:t xml:space="preserve"> on an elected official's responsibilities would not be considered to </w:t>
      </w:r>
      <w:r w:rsidR="00CE022A">
        <w:rPr>
          <w:rFonts w:ascii="Times New Roman" w:hAnsi="Times New Roman" w:cs="Times New Roman"/>
          <w:color w:val="4F81BD" w:themeColor="accent1"/>
          <w:sz w:val="24"/>
          <w:szCs w:val="24"/>
        </w:rPr>
        <w:t xml:space="preserve">be an exception under the </w:t>
      </w:r>
      <w:r w:rsidR="00F07FFB">
        <w:rPr>
          <w:rFonts w:ascii="Times New Roman" w:hAnsi="Times New Roman" w:cs="Times New Roman"/>
          <w:color w:val="4F81BD" w:themeColor="accent1"/>
          <w:sz w:val="24"/>
          <w:szCs w:val="24"/>
        </w:rPr>
        <w:t xml:space="preserve">statewide </w:t>
      </w:r>
      <w:r w:rsidR="00CE022A">
        <w:rPr>
          <w:rFonts w:ascii="Times New Roman" w:hAnsi="Times New Roman" w:cs="Times New Roman"/>
          <w:color w:val="4F81BD" w:themeColor="accent1"/>
          <w:sz w:val="24"/>
          <w:szCs w:val="24"/>
        </w:rPr>
        <w:t>AUPs.</w:t>
      </w:r>
    </w:p>
    <w:p w:rsidR="002D4BCD" w:rsidRDefault="002D4BCD" w:rsidP="007B4C75">
      <w:pPr>
        <w:spacing w:after="240"/>
        <w:jc w:val="both"/>
        <w:rPr>
          <w:rFonts w:ascii="Times New Roman" w:hAnsi="Times New Roman" w:cs="Times New Roman"/>
          <w:b/>
          <w:i/>
          <w:sz w:val="28"/>
          <w:szCs w:val="28"/>
          <w:u w:val="single"/>
        </w:rPr>
      </w:pPr>
    </w:p>
    <w:p w:rsidR="00C50F5D" w:rsidRDefault="00C50F5D" w:rsidP="007B4C75">
      <w:pPr>
        <w:spacing w:after="240"/>
        <w:jc w:val="both"/>
        <w:rPr>
          <w:rFonts w:ascii="Times New Roman" w:hAnsi="Times New Roman" w:cs="Times New Roman"/>
          <w:b/>
          <w:i/>
          <w:sz w:val="28"/>
          <w:szCs w:val="28"/>
          <w:u w:val="single"/>
        </w:rPr>
      </w:pPr>
      <w:r w:rsidRPr="007B4C75">
        <w:rPr>
          <w:rFonts w:ascii="Times New Roman" w:hAnsi="Times New Roman" w:cs="Times New Roman"/>
          <w:b/>
          <w:i/>
          <w:sz w:val="28"/>
          <w:szCs w:val="28"/>
          <w:u w:val="single"/>
        </w:rPr>
        <w:t>Credit Cards/Debit Cards/Fuel Cards/P-Cards</w:t>
      </w:r>
    </w:p>
    <w:p w:rsidR="0091570A" w:rsidRDefault="00F07FFB" w:rsidP="00526928">
      <w:pPr>
        <w:pStyle w:val="ListParagraph"/>
        <w:numPr>
          <w:ilvl w:val="0"/>
          <w:numId w:val="9"/>
        </w:numPr>
        <w:contextualSpacing w:val="0"/>
        <w:jc w:val="both"/>
        <w:rPr>
          <w:rFonts w:ascii="Times New Roman" w:hAnsi="Times New Roman" w:cs="Times New Roman"/>
          <w:sz w:val="24"/>
          <w:szCs w:val="24"/>
        </w:rPr>
      </w:pPr>
      <w:r>
        <w:rPr>
          <w:rFonts w:ascii="Times New Roman" w:hAnsi="Times New Roman" w:cs="Times New Roman"/>
          <w:sz w:val="24"/>
          <w:szCs w:val="24"/>
        </w:rPr>
        <w:t>How should procedure</w:t>
      </w:r>
      <w:r w:rsidR="00CE022A">
        <w:rPr>
          <w:rFonts w:ascii="Times New Roman" w:hAnsi="Times New Roman" w:cs="Times New Roman"/>
          <w:sz w:val="24"/>
          <w:szCs w:val="24"/>
        </w:rPr>
        <w:t xml:space="preserve"> #13 be addressed if one or more </w:t>
      </w:r>
      <w:r>
        <w:rPr>
          <w:rFonts w:ascii="Times New Roman" w:hAnsi="Times New Roman" w:cs="Times New Roman"/>
          <w:sz w:val="24"/>
          <w:szCs w:val="24"/>
        </w:rPr>
        <w:t>card statements selected in procedure</w:t>
      </w:r>
      <w:r w:rsidR="00CE022A">
        <w:rPr>
          <w:rFonts w:ascii="Times New Roman" w:hAnsi="Times New Roman" w:cs="Times New Roman"/>
          <w:sz w:val="24"/>
          <w:szCs w:val="24"/>
        </w:rPr>
        <w:t xml:space="preserve"> #12 are </w:t>
      </w:r>
      <w:r w:rsidR="005F3103">
        <w:rPr>
          <w:rFonts w:ascii="Times New Roman" w:hAnsi="Times New Roman" w:cs="Times New Roman"/>
          <w:sz w:val="24"/>
          <w:szCs w:val="24"/>
        </w:rPr>
        <w:t xml:space="preserve">for </w:t>
      </w:r>
      <w:r w:rsidR="00CE022A">
        <w:rPr>
          <w:rFonts w:ascii="Times New Roman" w:hAnsi="Times New Roman" w:cs="Times New Roman"/>
          <w:sz w:val="24"/>
          <w:szCs w:val="24"/>
        </w:rPr>
        <w:t>fuel cards?</w:t>
      </w:r>
    </w:p>
    <w:p w:rsidR="0091570A" w:rsidRDefault="00CE022A" w:rsidP="00526928">
      <w:pPr>
        <w:pStyle w:val="ListParagraph"/>
        <w:numPr>
          <w:ilvl w:val="1"/>
          <w:numId w:val="9"/>
        </w:numPr>
        <w:contextualSpacing w:val="0"/>
        <w:jc w:val="both"/>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Selection of a f</w:t>
      </w:r>
      <w:r w:rsidR="0091570A" w:rsidRPr="0091570A">
        <w:rPr>
          <w:rFonts w:ascii="Times New Roman" w:hAnsi="Times New Roman" w:cs="Times New Roman"/>
          <w:color w:val="4F81BD" w:themeColor="accent1"/>
          <w:sz w:val="24"/>
          <w:szCs w:val="24"/>
        </w:rPr>
        <w:t>uel card under</w:t>
      </w:r>
      <w:r w:rsidR="00F07FFB">
        <w:rPr>
          <w:rFonts w:ascii="Times New Roman" w:hAnsi="Times New Roman" w:cs="Times New Roman"/>
          <w:color w:val="4F81BD" w:themeColor="accent1"/>
          <w:sz w:val="24"/>
          <w:szCs w:val="24"/>
        </w:rPr>
        <w:t xml:space="preserve"> procedure</w:t>
      </w:r>
      <w:r w:rsidR="0091570A" w:rsidRPr="0091570A">
        <w:rPr>
          <w:rFonts w:ascii="Times New Roman" w:hAnsi="Times New Roman" w:cs="Times New Roman"/>
          <w:color w:val="4F81BD" w:themeColor="accent1"/>
          <w:sz w:val="24"/>
          <w:szCs w:val="24"/>
        </w:rPr>
        <w:t xml:space="preserve"> #12 would reduce </w:t>
      </w:r>
      <w:r>
        <w:rPr>
          <w:rFonts w:ascii="Times New Roman" w:hAnsi="Times New Roman" w:cs="Times New Roman"/>
          <w:color w:val="4F81BD" w:themeColor="accent1"/>
          <w:sz w:val="24"/>
          <w:szCs w:val="24"/>
        </w:rPr>
        <w:t xml:space="preserve">the total number of </w:t>
      </w:r>
      <w:r w:rsidR="0091570A" w:rsidRPr="0091570A">
        <w:rPr>
          <w:rFonts w:ascii="Times New Roman" w:hAnsi="Times New Roman" w:cs="Times New Roman"/>
          <w:color w:val="4F81BD" w:themeColor="accent1"/>
          <w:sz w:val="24"/>
          <w:szCs w:val="24"/>
        </w:rPr>
        <w:t xml:space="preserve">transactions </w:t>
      </w:r>
      <w:r>
        <w:rPr>
          <w:rFonts w:ascii="Times New Roman" w:hAnsi="Times New Roman" w:cs="Times New Roman"/>
          <w:color w:val="4F81BD" w:themeColor="accent1"/>
          <w:sz w:val="24"/>
          <w:szCs w:val="24"/>
        </w:rPr>
        <w:t xml:space="preserve">tested </w:t>
      </w:r>
      <w:r w:rsidR="0091570A" w:rsidRPr="0091570A">
        <w:rPr>
          <w:rFonts w:ascii="Times New Roman" w:hAnsi="Times New Roman" w:cs="Times New Roman"/>
          <w:color w:val="4F81BD" w:themeColor="accent1"/>
          <w:sz w:val="24"/>
          <w:szCs w:val="24"/>
        </w:rPr>
        <w:t xml:space="preserve">under </w:t>
      </w:r>
      <w:r w:rsidR="00F07FFB">
        <w:rPr>
          <w:rFonts w:ascii="Times New Roman" w:hAnsi="Times New Roman" w:cs="Times New Roman"/>
          <w:color w:val="4F81BD" w:themeColor="accent1"/>
          <w:sz w:val="24"/>
          <w:szCs w:val="24"/>
        </w:rPr>
        <w:t>procedure</w:t>
      </w:r>
      <w:r>
        <w:rPr>
          <w:rFonts w:ascii="Times New Roman" w:hAnsi="Times New Roman" w:cs="Times New Roman"/>
          <w:color w:val="4F81BD" w:themeColor="accent1"/>
          <w:sz w:val="24"/>
          <w:szCs w:val="24"/>
        </w:rPr>
        <w:t xml:space="preserve"> </w:t>
      </w:r>
      <w:r w:rsidR="0091570A" w:rsidRPr="0091570A">
        <w:rPr>
          <w:rFonts w:ascii="Times New Roman" w:hAnsi="Times New Roman" w:cs="Times New Roman"/>
          <w:color w:val="4F81BD" w:themeColor="accent1"/>
          <w:sz w:val="24"/>
          <w:szCs w:val="24"/>
        </w:rPr>
        <w:t>#13.  For example, if 3 credit cards and 2 fuel cards were selected under #12, only those 30 transactions related to the credit cards would be tested under #13.</w:t>
      </w:r>
      <w:r w:rsidR="00696BA5">
        <w:rPr>
          <w:rFonts w:ascii="Times New Roman" w:hAnsi="Times New Roman" w:cs="Times New Roman"/>
          <w:color w:val="4F81BD" w:themeColor="accent1"/>
          <w:sz w:val="24"/>
          <w:szCs w:val="24"/>
        </w:rPr>
        <w:t xml:space="preserve">  Conceivably, if all selected cards were fuel cards, step #13 would not be applicable.</w:t>
      </w:r>
      <w:r w:rsidR="00F07FFB">
        <w:rPr>
          <w:rFonts w:ascii="Times New Roman" w:hAnsi="Times New Roman" w:cs="Times New Roman"/>
          <w:color w:val="4F81BD" w:themeColor="accent1"/>
          <w:sz w:val="24"/>
          <w:szCs w:val="24"/>
        </w:rPr>
        <w:t xml:space="preserve">  However, because the selection of cards under procedure #12 is based on </w:t>
      </w:r>
      <w:r w:rsidR="00F07FFB" w:rsidRPr="00F07FFB">
        <w:rPr>
          <w:rFonts w:ascii="Times New Roman" w:hAnsi="Times New Roman" w:cs="Times New Roman"/>
          <w:color w:val="4F81BD" w:themeColor="accent1"/>
          <w:sz w:val="24"/>
          <w:szCs w:val="24"/>
          <w:u w:val="single"/>
        </w:rPr>
        <w:t>random</w:t>
      </w:r>
      <w:r w:rsidR="00F07FFB">
        <w:rPr>
          <w:rFonts w:ascii="Times New Roman" w:hAnsi="Times New Roman" w:cs="Times New Roman"/>
          <w:color w:val="4F81BD" w:themeColor="accent1"/>
          <w:sz w:val="24"/>
          <w:szCs w:val="24"/>
        </w:rPr>
        <w:t xml:space="preserve"> selection, the practitioner should not </w:t>
      </w:r>
      <w:r w:rsidR="00F07FFB" w:rsidRPr="00F07FFB">
        <w:rPr>
          <w:rFonts w:ascii="Times New Roman" w:hAnsi="Times New Roman" w:cs="Times New Roman"/>
          <w:color w:val="4F81BD" w:themeColor="accent1"/>
          <w:sz w:val="24"/>
          <w:szCs w:val="24"/>
          <w:u w:val="single"/>
        </w:rPr>
        <w:t>judgmentally</w:t>
      </w:r>
      <w:r w:rsidR="00F07FFB">
        <w:rPr>
          <w:rFonts w:ascii="Times New Roman" w:hAnsi="Times New Roman" w:cs="Times New Roman"/>
          <w:color w:val="4F81BD" w:themeColor="accent1"/>
          <w:sz w:val="24"/>
          <w:szCs w:val="24"/>
        </w:rPr>
        <w:t xml:space="preserve"> select fuel cards to avoid testing under procedure #13.</w:t>
      </w:r>
    </w:p>
    <w:p w:rsidR="00AB22E5" w:rsidRDefault="00AB22E5" w:rsidP="00526928">
      <w:pPr>
        <w:pStyle w:val="ListParagraph"/>
        <w:numPr>
          <w:ilvl w:val="0"/>
          <w:numId w:val="9"/>
        </w:numPr>
        <w:contextualSpacing w:val="0"/>
        <w:jc w:val="both"/>
        <w:rPr>
          <w:rFonts w:ascii="Times New Roman" w:hAnsi="Times New Roman" w:cs="Times New Roman"/>
          <w:sz w:val="24"/>
          <w:szCs w:val="24"/>
        </w:rPr>
      </w:pPr>
      <w:r w:rsidRPr="00AB22E5">
        <w:rPr>
          <w:rFonts w:ascii="Times New Roman" w:hAnsi="Times New Roman" w:cs="Times New Roman"/>
          <w:sz w:val="24"/>
          <w:szCs w:val="24"/>
        </w:rPr>
        <w:t>One of our clients utilizes SmartData for their credit cards through Chase</w:t>
      </w:r>
      <w:r w:rsidR="00526928">
        <w:rPr>
          <w:rFonts w:ascii="Times New Roman" w:hAnsi="Times New Roman" w:cs="Times New Roman"/>
          <w:sz w:val="24"/>
          <w:szCs w:val="24"/>
        </w:rPr>
        <w:t>, which requires a transaction-level review of charges</w:t>
      </w:r>
      <w:r w:rsidRPr="00AB22E5">
        <w:rPr>
          <w:rFonts w:ascii="Times New Roman" w:hAnsi="Times New Roman" w:cs="Times New Roman"/>
          <w:sz w:val="24"/>
          <w:szCs w:val="24"/>
        </w:rPr>
        <w:t xml:space="preserve">. </w:t>
      </w:r>
      <w:r w:rsidR="00526928">
        <w:rPr>
          <w:rFonts w:ascii="Times New Roman" w:hAnsi="Times New Roman" w:cs="Times New Roman"/>
          <w:sz w:val="24"/>
          <w:szCs w:val="24"/>
        </w:rPr>
        <w:t xml:space="preserve"> Would this constitute “evidence that the monthly statement or combined statement and supporting documentation…was reviewed and approved, in writing…”</w:t>
      </w:r>
      <w:r w:rsidR="004D32A5">
        <w:rPr>
          <w:rFonts w:ascii="Times New Roman" w:hAnsi="Times New Roman" w:cs="Times New Roman"/>
          <w:sz w:val="24"/>
          <w:szCs w:val="24"/>
        </w:rPr>
        <w:t>?</w:t>
      </w:r>
    </w:p>
    <w:p w:rsidR="00AB22E5" w:rsidRDefault="00526928" w:rsidP="00526928">
      <w:pPr>
        <w:pStyle w:val="ListParagraph"/>
        <w:numPr>
          <w:ilvl w:val="1"/>
          <w:numId w:val="9"/>
        </w:numPr>
        <w:contextualSpacing w:val="0"/>
        <w:jc w:val="both"/>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Yes, if</w:t>
      </w:r>
      <w:r w:rsidR="00AB22E5" w:rsidRPr="00AB22E5">
        <w:rPr>
          <w:rFonts w:ascii="Times New Roman" w:hAnsi="Times New Roman" w:cs="Times New Roman"/>
          <w:color w:val="4F81BD" w:themeColor="accent1"/>
          <w:sz w:val="24"/>
          <w:szCs w:val="24"/>
        </w:rPr>
        <w:t xml:space="preserve"> </w:t>
      </w:r>
      <w:r>
        <w:rPr>
          <w:rFonts w:ascii="Times New Roman" w:hAnsi="Times New Roman" w:cs="Times New Roman"/>
          <w:color w:val="4F81BD" w:themeColor="accent1"/>
          <w:sz w:val="24"/>
          <w:szCs w:val="24"/>
        </w:rPr>
        <w:t xml:space="preserve">the practitioner has </w:t>
      </w:r>
      <w:r w:rsidR="00AB22E5" w:rsidRPr="00AB22E5">
        <w:rPr>
          <w:rFonts w:ascii="Times New Roman" w:hAnsi="Times New Roman" w:cs="Times New Roman"/>
          <w:color w:val="4F81BD" w:themeColor="accent1"/>
          <w:sz w:val="24"/>
          <w:szCs w:val="24"/>
        </w:rPr>
        <w:t>evidence that all transactions are being reviewed</w:t>
      </w:r>
      <w:r>
        <w:rPr>
          <w:rFonts w:ascii="Times New Roman" w:hAnsi="Times New Roman" w:cs="Times New Roman"/>
          <w:color w:val="4F81BD" w:themeColor="accent1"/>
          <w:sz w:val="24"/>
          <w:szCs w:val="24"/>
        </w:rPr>
        <w:t xml:space="preserve"> and approved</w:t>
      </w:r>
      <w:r w:rsidR="00AB22E5" w:rsidRPr="00AB22E5">
        <w:rPr>
          <w:rFonts w:ascii="Times New Roman" w:hAnsi="Times New Roman" w:cs="Times New Roman"/>
          <w:color w:val="4F81BD" w:themeColor="accent1"/>
          <w:sz w:val="24"/>
          <w:szCs w:val="24"/>
        </w:rPr>
        <w:t xml:space="preserve">, this would not be an exception.  </w:t>
      </w:r>
      <w:r>
        <w:rPr>
          <w:rFonts w:ascii="Times New Roman" w:hAnsi="Times New Roman" w:cs="Times New Roman"/>
          <w:color w:val="4F81BD" w:themeColor="accent1"/>
          <w:sz w:val="24"/>
          <w:szCs w:val="24"/>
        </w:rPr>
        <w:t>The practitioner could</w:t>
      </w:r>
      <w:r w:rsidR="00AB22E5" w:rsidRPr="00AB22E5">
        <w:rPr>
          <w:rFonts w:ascii="Times New Roman" w:hAnsi="Times New Roman" w:cs="Times New Roman"/>
          <w:color w:val="4F81BD" w:themeColor="accent1"/>
          <w:sz w:val="24"/>
          <w:szCs w:val="24"/>
        </w:rPr>
        <w:t xml:space="preserve"> either explain the process in the AUP procedure results or could customize the AUP procedure to fit the</w:t>
      </w:r>
      <w:r>
        <w:rPr>
          <w:rFonts w:ascii="Times New Roman" w:hAnsi="Times New Roman" w:cs="Times New Roman"/>
          <w:color w:val="4F81BD" w:themeColor="accent1"/>
          <w:sz w:val="24"/>
          <w:szCs w:val="24"/>
        </w:rPr>
        <w:t xml:space="preserve"> actual review/approval</w:t>
      </w:r>
      <w:r w:rsidR="00AB22E5" w:rsidRPr="00AB22E5">
        <w:rPr>
          <w:rFonts w:ascii="Times New Roman" w:hAnsi="Times New Roman" w:cs="Times New Roman"/>
          <w:color w:val="4F81BD" w:themeColor="accent1"/>
          <w:sz w:val="24"/>
          <w:szCs w:val="24"/>
        </w:rPr>
        <w:t xml:space="preserve"> process.</w:t>
      </w:r>
    </w:p>
    <w:p w:rsidR="002D580C" w:rsidRDefault="00526928" w:rsidP="00526928">
      <w:pPr>
        <w:pStyle w:val="ListParagraph"/>
        <w:numPr>
          <w:ilvl w:val="0"/>
          <w:numId w:val="9"/>
        </w:numPr>
        <w:contextualSpacing w:val="0"/>
        <w:jc w:val="both"/>
        <w:rPr>
          <w:rFonts w:ascii="Times New Roman" w:hAnsi="Times New Roman" w:cs="Times New Roman"/>
          <w:sz w:val="24"/>
          <w:szCs w:val="24"/>
        </w:rPr>
      </w:pPr>
      <w:r>
        <w:rPr>
          <w:rFonts w:ascii="Times New Roman" w:hAnsi="Times New Roman" w:cs="Times New Roman"/>
          <w:sz w:val="24"/>
          <w:szCs w:val="24"/>
        </w:rPr>
        <w:t xml:space="preserve">To address </w:t>
      </w:r>
      <w:r w:rsidR="00696BA5">
        <w:rPr>
          <w:rFonts w:ascii="Times New Roman" w:hAnsi="Times New Roman" w:cs="Times New Roman"/>
          <w:sz w:val="24"/>
          <w:szCs w:val="24"/>
        </w:rPr>
        <w:t xml:space="preserve">credit card transaction documentation that did not include an itemized </w:t>
      </w:r>
      <w:r w:rsidR="002D580C" w:rsidRPr="00E72E0E">
        <w:rPr>
          <w:rFonts w:ascii="Times New Roman" w:hAnsi="Times New Roman" w:cs="Times New Roman"/>
          <w:sz w:val="24"/>
          <w:szCs w:val="24"/>
        </w:rPr>
        <w:t>receipt</w:t>
      </w:r>
      <w:r>
        <w:rPr>
          <w:rFonts w:ascii="Times New Roman" w:hAnsi="Times New Roman" w:cs="Times New Roman"/>
          <w:sz w:val="24"/>
          <w:szCs w:val="24"/>
        </w:rPr>
        <w:t>, one client required its employees to complete</w:t>
      </w:r>
      <w:r w:rsidR="00E72E0E" w:rsidRPr="00E72E0E">
        <w:rPr>
          <w:rFonts w:ascii="Times New Roman" w:hAnsi="Times New Roman" w:cs="Times New Roman"/>
          <w:sz w:val="24"/>
          <w:szCs w:val="24"/>
        </w:rPr>
        <w:t xml:space="preserve"> a “Missing Receipt Statement” (one </w:t>
      </w:r>
      <w:r>
        <w:rPr>
          <w:rFonts w:ascii="Times New Roman" w:hAnsi="Times New Roman" w:cs="Times New Roman"/>
          <w:sz w:val="24"/>
          <w:szCs w:val="24"/>
        </w:rPr>
        <w:t xml:space="preserve">example was </w:t>
      </w:r>
      <w:r w:rsidR="00E72E0E" w:rsidRPr="00E72E0E">
        <w:rPr>
          <w:rFonts w:ascii="Times New Roman" w:hAnsi="Times New Roman" w:cs="Times New Roman"/>
          <w:sz w:val="24"/>
          <w:szCs w:val="24"/>
        </w:rPr>
        <w:t xml:space="preserve">due to a parking garage receipt machine </w:t>
      </w:r>
      <w:r w:rsidR="00D774E0">
        <w:rPr>
          <w:rFonts w:ascii="Times New Roman" w:hAnsi="Times New Roman" w:cs="Times New Roman"/>
          <w:sz w:val="24"/>
          <w:szCs w:val="24"/>
        </w:rPr>
        <w:t>that was out of paper</w:t>
      </w:r>
      <w:r w:rsidR="00E72E0E" w:rsidRPr="00E72E0E">
        <w:rPr>
          <w:rFonts w:ascii="Times New Roman" w:hAnsi="Times New Roman" w:cs="Times New Roman"/>
          <w:sz w:val="24"/>
          <w:szCs w:val="24"/>
        </w:rPr>
        <w:t>).</w:t>
      </w:r>
      <w:r w:rsidR="002D580C" w:rsidRPr="00E72E0E">
        <w:rPr>
          <w:rFonts w:ascii="Times New Roman" w:hAnsi="Times New Roman" w:cs="Times New Roman"/>
          <w:sz w:val="24"/>
          <w:szCs w:val="24"/>
        </w:rPr>
        <w:t xml:space="preserve"> </w:t>
      </w:r>
      <w:r>
        <w:rPr>
          <w:rFonts w:ascii="Times New Roman" w:hAnsi="Times New Roman" w:cs="Times New Roman"/>
          <w:sz w:val="24"/>
          <w:szCs w:val="24"/>
        </w:rPr>
        <w:t xml:space="preserve"> The </w:t>
      </w:r>
      <w:r w:rsidR="00696BA5">
        <w:rPr>
          <w:rFonts w:ascii="Times New Roman" w:hAnsi="Times New Roman" w:cs="Times New Roman"/>
          <w:sz w:val="24"/>
          <w:szCs w:val="24"/>
        </w:rPr>
        <w:t>S</w:t>
      </w:r>
      <w:r>
        <w:rPr>
          <w:rFonts w:ascii="Times New Roman" w:hAnsi="Times New Roman" w:cs="Times New Roman"/>
          <w:sz w:val="24"/>
          <w:szCs w:val="24"/>
        </w:rPr>
        <w:t xml:space="preserve">tatement requires a </w:t>
      </w:r>
      <w:r w:rsidR="002D580C" w:rsidRPr="00E72E0E">
        <w:rPr>
          <w:rFonts w:ascii="Times New Roman" w:hAnsi="Times New Roman" w:cs="Times New Roman"/>
          <w:sz w:val="24"/>
          <w:szCs w:val="24"/>
        </w:rPr>
        <w:t>description of the issue and items purchased</w:t>
      </w:r>
      <w:r>
        <w:rPr>
          <w:rFonts w:ascii="Times New Roman" w:hAnsi="Times New Roman" w:cs="Times New Roman"/>
          <w:sz w:val="24"/>
          <w:szCs w:val="24"/>
        </w:rPr>
        <w:t xml:space="preserve"> and requires both the card holder</w:t>
      </w:r>
      <w:r w:rsidR="00D774E0">
        <w:rPr>
          <w:rFonts w:ascii="Times New Roman" w:hAnsi="Times New Roman" w:cs="Times New Roman"/>
          <w:sz w:val="24"/>
          <w:szCs w:val="24"/>
        </w:rPr>
        <w:t>’s</w:t>
      </w:r>
      <w:r>
        <w:rPr>
          <w:rFonts w:ascii="Times New Roman" w:hAnsi="Times New Roman" w:cs="Times New Roman"/>
          <w:sz w:val="24"/>
          <w:szCs w:val="24"/>
        </w:rPr>
        <w:t xml:space="preserve"> and supervisor’s written approval. </w:t>
      </w:r>
      <w:r w:rsidR="002D580C" w:rsidRPr="00E72E0E">
        <w:rPr>
          <w:rFonts w:ascii="Times New Roman" w:hAnsi="Times New Roman" w:cs="Times New Roman"/>
          <w:sz w:val="24"/>
          <w:szCs w:val="24"/>
        </w:rPr>
        <w:t xml:space="preserve"> </w:t>
      </w:r>
      <w:r>
        <w:rPr>
          <w:rFonts w:ascii="Times New Roman" w:hAnsi="Times New Roman" w:cs="Times New Roman"/>
          <w:sz w:val="24"/>
          <w:szCs w:val="24"/>
        </w:rPr>
        <w:t>How s</w:t>
      </w:r>
      <w:r w:rsidR="00696BA5">
        <w:rPr>
          <w:rFonts w:ascii="Times New Roman" w:hAnsi="Times New Roman" w:cs="Times New Roman"/>
          <w:sz w:val="24"/>
          <w:szCs w:val="24"/>
        </w:rPr>
        <w:t xml:space="preserve">hould this be </w:t>
      </w:r>
      <w:r w:rsidR="00005F52">
        <w:rPr>
          <w:rFonts w:ascii="Times New Roman" w:hAnsi="Times New Roman" w:cs="Times New Roman"/>
          <w:sz w:val="24"/>
          <w:szCs w:val="24"/>
        </w:rPr>
        <w:t>reported</w:t>
      </w:r>
      <w:r w:rsidR="00696BA5">
        <w:rPr>
          <w:rFonts w:ascii="Times New Roman" w:hAnsi="Times New Roman" w:cs="Times New Roman"/>
          <w:sz w:val="24"/>
          <w:szCs w:val="24"/>
        </w:rPr>
        <w:t xml:space="preserve"> for purposes of AUP results</w:t>
      </w:r>
      <w:r w:rsidR="00E72E0E" w:rsidRPr="00E72E0E">
        <w:rPr>
          <w:rFonts w:ascii="Times New Roman" w:hAnsi="Times New Roman" w:cs="Times New Roman"/>
          <w:sz w:val="24"/>
          <w:szCs w:val="24"/>
        </w:rPr>
        <w:t>?</w:t>
      </w:r>
    </w:p>
    <w:p w:rsidR="00E72E0E" w:rsidRDefault="00696BA5" w:rsidP="00696BA5">
      <w:pPr>
        <w:pStyle w:val="ListParagraph"/>
        <w:numPr>
          <w:ilvl w:val="1"/>
          <w:numId w:val="9"/>
        </w:numPr>
        <w:contextualSpacing w:val="0"/>
        <w:jc w:val="both"/>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lastRenderedPageBreak/>
        <w:t xml:space="preserve">If this </w:t>
      </w:r>
      <w:r w:rsidR="00D774E0">
        <w:rPr>
          <w:rFonts w:ascii="Times New Roman" w:hAnsi="Times New Roman" w:cs="Times New Roman"/>
          <w:color w:val="4F81BD" w:themeColor="accent1"/>
          <w:sz w:val="24"/>
          <w:szCs w:val="24"/>
        </w:rPr>
        <w:t>was</w:t>
      </w:r>
      <w:r>
        <w:rPr>
          <w:rFonts w:ascii="Times New Roman" w:hAnsi="Times New Roman" w:cs="Times New Roman"/>
          <w:color w:val="4F81BD" w:themeColor="accent1"/>
          <w:sz w:val="24"/>
          <w:szCs w:val="24"/>
        </w:rPr>
        <w:t xml:space="preserve"> an isolated occurrence, t</w:t>
      </w:r>
      <w:r w:rsidR="00526928">
        <w:rPr>
          <w:rFonts w:ascii="Times New Roman" w:hAnsi="Times New Roman" w:cs="Times New Roman"/>
          <w:color w:val="4F81BD" w:themeColor="accent1"/>
          <w:sz w:val="24"/>
          <w:szCs w:val="24"/>
        </w:rPr>
        <w:t>he practitioner could describe the nature of the transaction and note that management had a compensating control</w:t>
      </w:r>
      <w:r w:rsidR="00D774E0">
        <w:rPr>
          <w:rFonts w:ascii="Times New Roman" w:hAnsi="Times New Roman" w:cs="Times New Roman"/>
          <w:color w:val="4F81BD" w:themeColor="accent1"/>
          <w:sz w:val="24"/>
          <w:szCs w:val="24"/>
        </w:rPr>
        <w:t xml:space="preserve"> to address such isolated occurrences</w:t>
      </w:r>
      <w:r w:rsidR="00E72E0E" w:rsidRPr="00E72E0E">
        <w:rPr>
          <w:rFonts w:ascii="Times New Roman" w:hAnsi="Times New Roman" w:cs="Times New Roman"/>
          <w:color w:val="4F81BD" w:themeColor="accent1"/>
          <w:sz w:val="24"/>
          <w:szCs w:val="24"/>
        </w:rPr>
        <w:t>.</w:t>
      </w:r>
    </w:p>
    <w:p w:rsidR="004D32A5" w:rsidRDefault="004D32A5" w:rsidP="004D32A5">
      <w:pPr>
        <w:pStyle w:val="ListParagraph"/>
        <w:numPr>
          <w:ilvl w:val="0"/>
          <w:numId w:val="9"/>
        </w:numPr>
        <w:contextualSpacing w:val="0"/>
        <w:jc w:val="both"/>
        <w:rPr>
          <w:rFonts w:ascii="Times New Roman" w:hAnsi="Times New Roman" w:cs="Times New Roman"/>
          <w:sz w:val="24"/>
          <w:szCs w:val="24"/>
        </w:rPr>
      </w:pPr>
      <w:r>
        <w:rPr>
          <w:rFonts w:ascii="Times New Roman" w:hAnsi="Times New Roman" w:cs="Times New Roman"/>
          <w:sz w:val="24"/>
          <w:szCs w:val="24"/>
        </w:rPr>
        <w:t>If school staff use credit cards for student activity funds, are these cards subject to the statewide AUPs?</w:t>
      </w:r>
    </w:p>
    <w:p w:rsidR="004D32A5" w:rsidRDefault="004D32A5" w:rsidP="004D32A5">
      <w:pPr>
        <w:pStyle w:val="ListParagraph"/>
        <w:numPr>
          <w:ilvl w:val="1"/>
          <w:numId w:val="9"/>
        </w:numPr>
        <w:contextualSpacing w:val="0"/>
        <w:jc w:val="both"/>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Yes, all credit/credit/fuel cards used by school staff for either school operations or student activity fund operations are subject to the statewide AUPs.</w:t>
      </w:r>
    </w:p>
    <w:p w:rsidR="002D4BCD" w:rsidRDefault="002D4BCD" w:rsidP="008B5212">
      <w:pPr>
        <w:spacing w:after="240"/>
        <w:jc w:val="both"/>
        <w:rPr>
          <w:rFonts w:ascii="Times New Roman" w:hAnsi="Times New Roman" w:cs="Times New Roman"/>
          <w:b/>
          <w:i/>
          <w:sz w:val="28"/>
          <w:szCs w:val="28"/>
          <w:u w:val="single"/>
        </w:rPr>
      </w:pPr>
    </w:p>
    <w:p w:rsidR="008B5212" w:rsidRPr="008B5212" w:rsidRDefault="008B5212" w:rsidP="008B5212">
      <w:pPr>
        <w:spacing w:after="240"/>
        <w:jc w:val="both"/>
        <w:rPr>
          <w:rFonts w:ascii="Times New Roman" w:hAnsi="Times New Roman" w:cs="Times New Roman"/>
          <w:b/>
          <w:i/>
          <w:sz w:val="28"/>
          <w:szCs w:val="28"/>
          <w:u w:val="single"/>
        </w:rPr>
      </w:pPr>
      <w:r>
        <w:rPr>
          <w:rFonts w:ascii="Times New Roman" w:hAnsi="Times New Roman" w:cs="Times New Roman"/>
          <w:b/>
          <w:i/>
          <w:sz w:val="28"/>
          <w:szCs w:val="28"/>
          <w:u w:val="single"/>
        </w:rPr>
        <w:t>Debt Service</w:t>
      </w:r>
    </w:p>
    <w:p w:rsidR="008B5212" w:rsidRDefault="008B5212" w:rsidP="008B5212">
      <w:pPr>
        <w:pStyle w:val="ListParagraph"/>
        <w:numPr>
          <w:ilvl w:val="0"/>
          <w:numId w:val="9"/>
        </w:numPr>
        <w:contextualSpacing w:val="0"/>
        <w:jc w:val="both"/>
        <w:rPr>
          <w:rFonts w:ascii="Times New Roman" w:hAnsi="Times New Roman" w:cs="Times New Roman"/>
          <w:sz w:val="24"/>
          <w:szCs w:val="24"/>
        </w:rPr>
      </w:pPr>
      <w:r>
        <w:rPr>
          <w:rFonts w:ascii="Times New Roman" w:hAnsi="Times New Roman" w:cs="Times New Roman"/>
          <w:sz w:val="24"/>
          <w:szCs w:val="24"/>
        </w:rPr>
        <w:t>For procedure #22, which states in part “obtain supporting documentation for the reserve balance and payments, and agree actual reserve balances and payments to those required by debt covenants,” do “reserve balances” include contingency funds, short-lived asset funds, or other funds identified in the debt covenants?</w:t>
      </w:r>
    </w:p>
    <w:p w:rsidR="008B5212" w:rsidRPr="008B5212" w:rsidRDefault="008B5212" w:rsidP="008B5212">
      <w:pPr>
        <w:pStyle w:val="ListParagraph"/>
        <w:numPr>
          <w:ilvl w:val="1"/>
          <w:numId w:val="9"/>
        </w:numPr>
        <w:contextualSpacing w:val="0"/>
        <w:jc w:val="both"/>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Yes, the term “reserve balances” would include any required funds identified in the debt covenants.</w:t>
      </w:r>
    </w:p>
    <w:p w:rsidR="000C66F2" w:rsidRPr="008B5212" w:rsidRDefault="000C66F2" w:rsidP="000C66F2">
      <w:pPr>
        <w:spacing w:after="240"/>
        <w:jc w:val="both"/>
        <w:rPr>
          <w:rFonts w:ascii="Times New Roman" w:hAnsi="Times New Roman" w:cs="Times New Roman"/>
          <w:b/>
          <w:i/>
          <w:sz w:val="28"/>
          <w:szCs w:val="28"/>
          <w:u w:val="single"/>
        </w:rPr>
      </w:pPr>
      <w:r>
        <w:rPr>
          <w:rFonts w:ascii="Times New Roman" w:hAnsi="Times New Roman" w:cs="Times New Roman"/>
          <w:b/>
          <w:i/>
          <w:sz w:val="28"/>
          <w:szCs w:val="28"/>
          <w:u w:val="single"/>
        </w:rPr>
        <w:t>Sexual Harassment</w:t>
      </w:r>
    </w:p>
    <w:p w:rsidR="000C66F2" w:rsidRDefault="000C66F2" w:rsidP="000C66F2">
      <w:pPr>
        <w:pStyle w:val="ListParagraph"/>
        <w:numPr>
          <w:ilvl w:val="0"/>
          <w:numId w:val="9"/>
        </w:numPr>
        <w:contextualSpacing w:val="0"/>
        <w:jc w:val="both"/>
        <w:rPr>
          <w:rFonts w:ascii="Times New Roman" w:hAnsi="Times New Roman" w:cs="Times New Roman"/>
          <w:sz w:val="24"/>
          <w:szCs w:val="24"/>
        </w:rPr>
      </w:pPr>
      <w:r w:rsidRPr="000C66F2">
        <w:rPr>
          <w:rFonts w:ascii="Times New Roman" w:hAnsi="Times New Roman" w:cs="Times New Roman"/>
          <w:sz w:val="24"/>
          <w:szCs w:val="24"/>
        </w:rPr>
        <w:t xml:space="preserve">Is a private non-profit, that is considered quasi-public for audit purposes solely due to the receipt of public funds, required to comply with the annual sexual harassment training and sexual harassment policy requirements under R.S. 42:341, et seq.? </w:t>
      </w:r>
    </w:p>
    <w:p w:rsidR="000C66F2" w:rsidRPr="008B5212" w:rsidRDefault="000C66F2" w:rsidP="000C66F2">
      <w:pPr>
        <w:pStyle w:val="ListParagraph"/>
        <w:numPr>
          <w:ilvl w:val="1"/>
          <w:numId w:val="9"/>
        </w:numPr>
        <w:contextualSpacing w:val="0"/>
        <w:jc w:val="both"/>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It depends</w:t>
      </w:r>
      <w:r w:rsidR="00811346">
        <w:rPr>
          <w:rFonts w:ascii="Times New Roman" w:hAnsi="Times New Roman" w:cs="Times New Roman"/>
          <w:color w:val="4F81BD" w:themeColor="accent1"/>
          <w:sz w:val="24"/>
          <w:szCs w:val="24"/>
        </w:rPr>
        <w:t>:</w:t>
      </w:r>
      <w:r>
        <w:rPr>
          <w:rFonts w:ascii="Times New Roman" w:hAnsi="Times New Roman" w:cs="Times New Roman"/>
          <w:color w:val="4F81BD" w:themeColor="accent1"/>
          <w:sz w:val="24"/>
          <w:szCs w:val="24"/>
        </w:rPr>
        <w:t xml:space="preserve"> </w:t>
      </w:r>
      <w:r w:rsidRPr="000C66F2">
        <w:rPr>
          <w:rFonts w:ascii="Times New Roman" w:hAnsi="Times New Roman" w:cs="Times New Roman"/>
          <w:color w:val="4F81BD" w:themeColor="accent1"/>
          <w:sz w:val="24"/>
          <w:szCs w:val="24"/>
        </w:rPr>
        <w:t>a private non-profit subject to audit by virtue of the receipt of public funds does not appear to be subject to the sexual harassment law, R.S. 42:341, et seq.   However, the</w:t>
      </w:r>
      <w:r w:rsidR="00811346">
        <w:rPr>
          <w:rFonts w:ascii="Times New Roman" w:hAnsi="Times New Roman" w:cs="Times New Roman"/>
          <w:color w:val="4F81BD" w:themeColor="accent1"/>
          <w:sz w:val="24"/>
          <w:szCs w:val="24"/>
        </w:rPr>
        <w:t xml:space="preserve"> non-profit</w:t>
      </w:r>
      <w:r w:rsidRPr="000C66F2">
        <w:rPr>
          <w:rFonts w:ascii="Times New Roman" w:hAnsi="Times New Roman" w:cs="Times New Roman"/>
          <w:color w:val="4F81BD" w:themeColor="accent1"/>
          <w:sz w:val="24"/>
          <w:szCs w:val="24"/>
        </w:rPr>
        <w:t xml:space="preserve"> </w:t>
      </w:r>
      <w:r w:rsidR="00811346">
        <w:rPr>
          <w:rFonts w:ascii="Times New Roman" w:hAnsi="Times New Roman" w:cs="Times New Roman"/>
          <w:color w:val="4F81BD" w:themeColor="accent1"/>
          <w:sz w:val="24"/>
          <w:szCs w:val="24"/>
        </w:rPr>
        <w:t>should review their agreements to receive public funds to determine if there is a requirement for the non-profit to comply with R.S. 42:</w:t>
      </w:r>
      <w:proofErr w:type="gramStart"/>
      <w:r w:rsidR="00811346">
        <w:rPr>
          <w:rFonts w:ascii="Times New Roman" w:hAnsi="Times New Roman" w:cs="Times New Roman"/>
          <w:color w:val="4F81BD" w:themeColor="accent1"/>
          <w:sz w:val="24"/>
          <w:szCs w:val="24"/>
        </w:rPr>
        <w:t>341,  et</w:t>
      </w:r>
      <w:proofErr w:type="gramEnd"/>
      <w:r w:rsidR="00811346">
        <w:rPr>
          <w:rFonts w:ascii="Times New Roman" w:hAnsi="Times New Roman" w:cs="Times New Roman"/>
          <w:color w:val="4F81BD" w:themeColor="accent1"/>
          <w:sz w:val="24"/>
          <w:szCs w:val="24"/>
        </w:rPr>
        <w:t xml:space="preserve"> seq.</w:t>
      </w:r>
    </w:p>
    <w:p w:rsidR="008B5212" w:rsidRPr="000C66F2" w:rsidRDefault="008B5212" w:rsidP="008B5212">
      <w:pPr>
        <w:jc w:val="both"/>
        <w:rPr>
          <w:rFonts w:ascii="Times New Roman" w:hAnsi="Times New Roman" w:cs="Times New Roman"/>
          <w:sz w:val="24"/>
          <w:szCs w:val="24"/>
        </w:rPr>
      </w:pPr>
    </w:p>
    <w:sectPr w:rsidR="008B5212" w:rsidRPr="000C66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48B" w:rsidRDefault="0030348B" w:rsidP="00C11B13">
      <w:pPr>
        <w:spacing w:after="0" w:line="240" w:lineRule="auto"/>
      </w:pPr>
      <w:r>
        <w:separator/>
      </w:r>
    </w:p>
  </w:endnote>
  <w:endnote w:type="continuationSeparator" w:id="0">
    <w:p w:rsidR="0030348B" w:rsidRDefault="0030348B" w:rsidP="00C11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46" w:rsidRDefault="00811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144358"/>
      <w:docPartObj>
        <w:docPartGallery w:val="Page Numbers (Bottom of Page)"/>
        <w:docPartUnique/>
      </w:docPartObj>
    </w:sdtPr>
    <w:sdtEndPr>
      <w:rPr>
        <w:color w:val="808080" w:themeColor="background1" w:themeShade="80"/>
        <w:spacing w:val="60"/>
      </w:rPr>
    </w:sdtEndPr>
    <w:sdtContent>
      <w:p w:rsidR="000C66F2" w:rsidRDefault="000C66F2" w:rsidP="00C11B13">
        <w:pPr>
          <w:pStyle w:val="Footer"/>
          <w:pBdr>
            <w:top w:val="single" w:sz="4" w:space="1" w:color="D9D9D9" w:themeColor="background1" w:themeShade="D9"/>
          </w:pBdr>
          <w:ind w:left="3960" w:firstLine="3960"/>
          <w:rPr>
            <w:b/>
            <w:bCs/>
          </w:rPr>
        </w:pPr>
        <w:r>
          <w:fldChar w:fldCharType="begin"/>
        </w:r>
        <w:r>
          <w:instrText xml:space="preserve"> PAGE   \* MERGEFORMAT </w:instrText>
        </w:r>
        <w:r>
          <w:fldChar w:fldCharType="separate"/>
        </w:r>
        <w:r w:rsidRPr="004A1092">
          <w:rPr>
            <w:b/>
            <w:bCs/>
            <w:noProof/>
          </w:rPr>
          <w:t>5</w:t>
        </w:r>
        <w:r>
          <w:rPr>
            <w:b/>
            <w:bCs/>
            <w:noProof/>
          </w:rPr>
          <w:fldChar w:fldCharType="end"/>
        </w:r>
        <w:r>
          <w:rPr>
            <w:b/>
            <w:bCs/>
          </w:rPr>
          <w:t xml:space="preserve"> | </w:t>
        </w:r>
        <w:r>
          <w:rPr>
            <w:color w:val="808080" w:themeColor="background1" w:themeShade="80"/>
            <w:spacing w:val="60"/>
          </w:rPr>
          <w:t>Page</w:t>
        </w:r>
      </w:p>
    </w:sdtContent>
  </w:sdt>
  <w:p w:rsidR="000C66F2" w:rsidRPr="00C11B13" w:rsidRDefault="000C66F2">
    <w:pPr>
      <w:pStyle w:val="Footer"/>
      <w:rPr>
        <w:i/>
      </w:rPr>
    </w:pPr>
    <w:r w:rsidRPr="00C11B13">
      <w:rPr>
        <w:i/>
      </w:rPr>
      <w:t xml:space="preserve">Last Updated: </w:t>
    </w:r>
    <w:r w:rsidR="001B6442">
      <w:rPr>
        <w:i/>
      </w:rPr>
      <w:t>July 12,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46" w:rsidRDefault="00811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48B" w:rsidRDefault="0030348B" w:rsidP="00C11B13">
      <w:pPr>
        <w:spacing w:after="0" w:line="240" w:lineRule="auto"/>
      </w:pPr>
      <w:r>
        <w:separator/>
      </w:r>
    </w:p>
  </w:footnote>
  <w:footnote w:type="continuationSeparator" w:id="0">
    <w:p w:rsidR="0030348B" w:rsidRDefault="0030348B" w:rsidP="00C11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46" w:rsidRDefault="00811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46" w:rsidRDefault="008113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46" w:rsidRDefault="00811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0FF6"/>
    <w:multiLevelType w:val="hybridMultilevel"/>
    <w:tmpl w:val="EB6C2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02616"/>
    <w:multiLevelType w:val="hybridMultilevel"/>
    <w:tmpl w:val="CAFA76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49542D"/>
    <w:multiLevelType w:val="hybridMultilevel"/>
    <w:tmpl w:val="4EA21AB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7C457F"/>
    <w:multiLevelType w:val="hybridMultilevel"/>
    <w:tmpl w:val="C39027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46E7C"/>
    <w:multiLevelType w:val="hybridMultilevel"/>
    <w:tmpl w:val="BC3E19A2"/>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876212"/>
    <w:multiLevelType w:val="hybridMultilevel"/>
    <w:tmpl w:val="985A45F2"/>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DA2C15"/>
    <w:multiLevelType w:val="hybridMultilevel"/>
    <w:tmpl w:val="97E8340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BC2F58"/>
    <w:multiLevelType w:val="hybridMultilevel"/>
    <w:tmpl w:val="EB547902"/>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D0B8A7DA">
      <w:start w:val="1"/>
      <w:numFmt w:val="decimal"/>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B365712"/>
    <w:multiLevelType w:val="hybridMultilevel"/>
    <w:tmpl w:val="4566B01A"/>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0D6C86"/>
    <w:multiLevelType w:val="hybridMultilevel"/>
    <w:tmpl w:val="03FC35D4"/>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A70B20"/>
    <w:multiLevelType w:val="hybridMultilevel"/>
    <w:tmpl w:val="715C66E0"/>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C86BF6"/>
    <w:multiLevelType w:val="hybridMultilevel"/>
    <w:tmpl w:val="2646CB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F00887"/>
    <w:multiLevelType w:val="hybridMultilevel"/>
    <w:tmpl w:val="F8D47E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2B518F"/>
    <w:multiLevelType w:val="hybridMultilevel"/>
    <w:tmpl w:val="6326445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291944"/>
    <w:multiLevelType w:val="hybridMultilevel"/>
    <w:tmpl w:val="4740B2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C2281D"/>
    <w:multiLevelType w:val="hybridMultilevel"/>
    <w:tmpl w:val="11D0D9C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AD67C08"/>
    <w:multiLevelType w:val="hybridMultilevel"/>
    <w:tmpl w:val="B43C13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B76C8"/>
    <w:multiLevelType w:val="hybridMultilevel"/>
    <w:tmpl w:val="4898835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A415BD"/>
    <w:multiLevelType w:val="hybridMultilevel"/>
    <w:tmpl w:val="42702FB8"/>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C93BF1"/>
    <w:multiLevelType w:val="hybridMultilevel"/>
    <w:tmpl w:val="D92AD5D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ECD474F"/>
    <w:multiLevelType w:val="hybridMultilevel"/>
    <w:tmpl w:val="26528B3C"/>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14"/>
  </w:num>
  <w:num w:numId="4">
    <w:abstractNumId w:val="19"/>
  </w:num>
  <w:num w:numId="5">
    <w:abstractNumId w:val="13"/>
  </w:num>
  <w:num w:numId="6">
    <w:abstractNumId w:val="7"/>
  </w:num>
  <w:num w:numId="7">
    <w:abstractNumId w:val="17"/>
  </w:num>
  <w:num w:numId="8">
    <w:abstractNumId w:val="3"/>
  </w:num>
  <w:num w:numId="9">
    <w:abstractNumId w:val="20"/>
  </w:num>
  <w:num w:numId="10">
    <w:abstractNumId w:val="2"/>
  </w:num>
  <w:num w:numId="11">
    <w:abstractNumId w:val="1"/>
  </w:num>
  <w:num w:numId="12">
    <w:abstractNumId w:val="8"/>
  </w:num>
  <w:num w:numId="13">
    <w:abstractNumId w:val="4"/>
  </w:num>
  <w:num w:numId="14">
    <w:abstractNumId w:val="5"/>
  </w:num>
  <w:num w:numId="15">
    <w:abstractNumId w:val="6"/>
  </w:num>
  <w:num w:numId="16">
    <w:abstractNumId w:val="10"/>
  </w:num>
  <w:num w:numId="17">
    <w:abstractNumId w:val="9"/>
  </w:num>
  <w:num w:numId="18">
    <w:abstractNumId w:val="15"/>
  </w:num>
  <w:num w:numId="19">
    <w:abstractNumId w:val="16"/>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F3A"/>
    <w:rsid w:val="00005F52"/>
    <w:rsid w:val="0002055F"/>
    <w:rsid w:val="00021331"/>
    <w:rsid w:val="00030B86"/>
    <w:rsid w:val="00051A3C"/>
    <w:rsid w:val="00057C73"/>
    <w:rsid w:val="00074FAB"/>
    <w:rsid w:val="00083A1E"/>
    <w:rsid w:val="00090AFE"/>
    <w:rsid w:val="000921AF"/>
    <w:rsid w:val="000A23CC"/>
    <w:rsid w:val="000B647A"/>
    <w:rsid w:val="000C66F2"/>
    <w:rsid w:val="000C6C60"/>
    <w:rsid w:val="000D525B"/>
    <w:rsid w:val="000E0D42"/>
    <w:rsid w:val="000E17F6"/>
    <w:rsid w:val="000F00F6"/>
    <w:rsid w:val="000F7E24"/>
    <w:rsid w:val="001040E3"/>
    <w:rsid w:val="00121A1F"/>
    <w:rsid w:val="0014431E"/>
    <w:rsid w:val="00144C4E"/>
    <w:rsid w:val="00152E82"/>
    <w:rsid w:val="0016426B"/>
    <w:rsid w:val="00190EE2"/>
    <w:rsid w:val="001B6442"/>
    <w:rsid w:val="001F771F"/>
    <w:rsid w:val="002071D5"/>
    <w:rsid w:val="00214C32"/>
    <w:rsid w:val="00243138"/>
    <w:rsid w:val="0025773F"/>
    <w:rsid w:val="00257DBA"/>
    <w:rsid w:val="00260020"/>
    <w:rsid w:val="002623C0"/>
    <w:rsid w:val="00267139"/>
    <w:rsid w:val="00282A37"/>
    <w:rsid w:val="00286EE7"/>
    <w:rsid w:val="00291A59"/>
    <w:rsid w:val="00295E47"/>
    <w:rsid w:val="002B6A06"/>
    <w:rsid w:val="002D065F"/>
    <w:rsid w:val="002D4BCD"/>
    <w:rsid w:val="002D580C"/>
    <w:rsid w:val="002D7F20"/>
    <w:rsid w:val="002E391F"/>
    <w:rsid w:val="00300128"/>
    <w:rsid w:val="0030348B"/>
    <w:rsid w:val="003168BE"/>
    <w:rsid w:val="003351E6"/>
    <w:rsid w:val="003372D0"/>
    <w:rsid w:val="003400ED"/>
    <w:rsid w:val="003453F7"/>
    <w:rsid w:val="00351A07"/>
    <w:rsid w:val="003533FF"/>
    <w:rsid w:val="00353A9F"/>
    <w:rsid w:val="0035571B"/>
    <w:rsid w:val="00373CF9"/>
    <w:rsid w:val="00380BA8"/>
    <w:rsid w:val="00382795"/>
    <w:rsid w:val="0038702F"/>
    <w:rsid w:val="003B362F"/>
    <w:rsid w:val="003E597E"/>
    <w:rsid w:val="00402305"/>
    <w:rsid w:val="004049DA"/>
    <w:rsid w:val="004051AA"/>
    <w:rsid w:val="00417838"/>
    <w:rsid w:val="00424EA9"/>
    <w:rsid w:val="00432F3A"/>
    <w:rsid w:val="0044708A"/>
    <w:rsid w:val="00455A12"/>
    <w:rsid w:val="00457750"/>
    <w:rsid w:val="004625B2"/>
    <w:rsid w:val="0047125D"/>
    <w:rsid w:val="004812F4"/>
    <w:rsid w:val="004870B1"/>
    <w:rsid w:val="004913FB"/>
    <w:rsid w:val="00496387"/>
    <w:rsid w:val="004A1092"/>
    <w:rsid w:val="004A5184"/>
    <w:rsid w:val="004A55BA"/>
    <w:rsid w:val="004A569B"/>
    <w:rsid w:val="004B3A99"/>
    <w:rsid w:val="004B5D4F"/>
    <w:rsid w:val="004C192E"/>
    <w:rsid w:val="004C736B"/>
    <w:rsid w:val="004D32A5"/>
    <w:rsid w:val="00505A54"/>
    <w:rsid w:val="00526928"/>
    <w:rsid w:val="00540623"/>
    <w:rsid w:val="00542A39"/>
    <w:rsid w:val="00554429"/>
    <w:rsid w:val="0055488F"/>
    <w:rsid w:val="005630C4"/>
    <w:rsid w:val="00585921"/>
    <w:rsid w:val="005868A3"/>
    <w:rsid w:val="005A03CB"/>
    <w:rsid w:val="005A145B"/>
    <w:rsid w:val="005B2973"/>
    <w:rsid w:val="005B41DC"/>
    <w:rsid w:val="005C2644"/>
    <w:rsid w:val="005F3103"/>
    <w:rsid w:val="005F5FD7"/>
    <w:rsid w:val="00600825"/>
    <w:rsid w:val="00623EEE"/>
    <w:rsid w:val="0064005E"/>
    <w:rsid w:val="006408A7"/>
    <w:rsid w:val="00641008"/>
    <w:rsid w:val="0064303A"/>
    <w:rsid w:val="0066015D"/>
    <w:rsid w:val="00662F5A"/>
    <w:rsid w:val="006653C0"/>
    <w:rsid w:val="00694810"/>
    <w:rsid w:val="00696BA5"/>
    <w:rsid w:val="006B3836"/>
    <w:rsid w:val="006B48AA"/>
    <w:rsid w:val="006D16EC"/>
    <w:rsid w:val="006E1773"/>
    <w:rsid w:val="006E54EA"/>
    <w:rsid w:val="006E5CBA"/>
    <w:rsid w:val="006E7372"/>
    <w:rsid w:val="006E7BF4"/>
    <w:rsid w:val="006F3BD4"/>
    <w:rsid w:val="006F6F72"/>
    <w:rsid w:val="0071129B"/>
    <w:rsid w:val="007157E6"/>
    <w:rsid w:val="00725AB2"/>
    <w:rsid w:val="00726B3A"/>
    <w:rsid w:val="00757B18"/>
    <w:rsid w:val="00760CA2"/>
    <w:rsid w:val="007642C8"/>
    <w:rsid w:val="00767E62"/>
    <w:rsid w:val="007727DD"/>
    <w:rsid w:val="007B4C75"/>
    <w:rsid w:val="007C04BF"/>
    <w:rsid w:val="007C7326"/>
    <w:rsid w:val="007D754B"/>
    <w:rsid w:val="007E16F8"/>
    <w:rsid w:val="007F7614"/>
    <w:rsid w:val="00806C26"/>
    <w:rsid w:val="00811346"/>
    <w:rsid w:val="0083753C"/>
    <w:rsid w:val="00840B9B"/>
    <w:rsid w:val="00862839"/>
    <w:rsid w:val="008A40C2"/>
    <w:rsid w:val="008B5212"/>
    <w:rsid w:val="008C0DFD"/>
    <w:rsid w:val="008D71CA"/>
    <w:rsid w:val="008E7FD0"/>
    <w:rsid w:val="00912ABC"/>
    <w:rsid w:val="0091570A"/>
    <w:rsid w:val="00916751"/>
    <w:rsid w:val="00943BE7"/>
    <w:rsid w:val="00954D4C"/>
    <w:rsid w:val="0095798F"/>
    <w:rsid w:val="00973EEF"/>
    <w:rsid w:val="00976699"/>
    <w:rsid w:val="009808B0"/>
    <w:rsid w:val="00993573"/>
    <w:rsid w:val="00994002"/>
    <w:rsid w:val="009A7357"/>
    <w:rsid w:val="009C6A97"/>
    <w:rsid w:val="009D1B2D"/>
    <w:rsid w:val="009D6F6C"/>
    <w:rsid w:val="009F2E48"/>
    <w:rsid w:val="00A04342"/>
    <w:rsid w:val="00A04F6C"/>
    <w:rsid w:val="00A05274"/>
    <w:rsid w:val="00A06D5F"/>
    <w:rsid w:val="00A14798"/>
    <w:rsid w:val="00A34B97"/>
    <w:rsid w:val="00A36F3F"/>
    <w:rsid w:val="00A521BC"/>
    <w:rsid w:val="00AA0DF2"/>
    <w:rsid w:val="00AB22E5"/>
    <w:rsid w:val="00AB4514"/>
    <w:rsid w:val="00AD4207"/>
    <w:rsid w:val="00AE186F"/>
    <w:rsid w:val="00B02E28"/>
    <w:rsid w:val="00B31386"/>
    <w:rsid w:val="00B31B4A"/>
    <w:rsid w:val="00B406AC"/>
    <w:rsid w:val="00B56A9B"/>
    <w:rsid w:val="00B91AE8"/>
    <w:rsid w:val="00B91E62"/>
    <w:rsid w:val="00BA7E8F"/>
    <w:rsid w:val="00BB54F1"/>
    <w:rsid w:val="00BB6D8A"/>
    <w:rsid w:val="00BE07C0"/>
    <w:rsid w:val="00BE7163"/>
    <w:rsid w:val="00BF3631"/>
    <w:rsid w:val="00C119FA"/>
    <w:rsid w:val="00C11B13"/>
    <w:rsid w:val="00C1247A"/>
    <w:rsid w:val="00C13D69"/>
    <w:rsid w:val="00C143A6"/>
    <w:rsid w:val="00C17C97"/>
    <w:rsid w:val="00C50F5D"/>
    <w:rsid w:val="00C74DBD"/>
    <w:rsid w:val="00C75CF1"/>
    <w:rsid w:val="00C920A6"/>
    <w:rsid w:val="00C9579A"/>
    <w:rsid w:val="00C97D47"/>
    <w:rsid w:val="00CA7F66"/>
    <w:rsid w:val="00CB25FE"/>
    <w:rsid w:val="00CE022A"/>
    <w:rsid w:val="00D371EB"/>
    <w:rsid w:val="00D60B48"/>
    <w:rsid w:val="00D62F49"/>
    <w:rsid w:val="00D65893"/>
    <w:rsid w:val="00D736ED"/>
    <w:rsid w:val="00D74AED"/>
    <w:rsid w:val="00D774E0"/>
    <w:rsid w:val="00D87977"/>
    <w:rsid w:val="00D94596"/>
    <w:rsid w:val="00D96DD6"/>
    <w:rsid w:val="00DB33F1"/>
    <w:rsid w:val="00DB3C1C"/>
    <w:rsid w:val="00DE0F6E"/>
    <w:rsid w:val="00E16318"/>
    <w:rsid w:val="00E2125D"/>
    <w:rsid w:val="00E316B5"/>
    <w:rsid w:val="00E40208"/>
    <w:rsid w:val="00E476E0"/>
    <w:rsid w:val="00E5185F"/>
    <w:rsid w:val="00E54DA8"/>
    <w:rsid w:val="00E56D0A"/>
    <w:rsid w:val="00E72E0E"/>
    <w:rsid w:val="00E77C88"/>
    <w:rsid w:val="00E81A14"/>
    <w:rsid w:val="00E87389"/>
    <w:rsid w:val="00EC7F94"/>
    <w:rsid w:val="00ED19DB"/>
    <w:rsid w:val="00ED37D4"/>
    <w:rsid w:val="00EE28DE"/>
    <w:rsid w:val="00EE6D03"/>
    <w:rsid w:val="00EF0015"/>
    <w:rsid w:val="00F06FF1"/>
    <w:rsid w:val="00F07FFB"/>
    <w:rsid w:val="00F20863"/>
    <w:rsid w:val="00F35F64"/>
    <w:rsid w:val="00F8391B"/>
    <w:rsid w:val="00F97E94"/>
    <w:rsid w:val="00FA1467"/>
    <w:rsid w:val="00FA4B48"/>
    <w:rsid w:val="00FA6284"/>
    <w:rsid w:val="00FC650D"/>
    <w:rsid w:val="00FD3D44"/>
    <w:rsid w:val="00FD44A5"/>
    <w:rsid w:val="00FD64A0"/>
    <w:rsid w:val="00FE51B5"/>
    <w:rsid w:val="00FF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5AC31"/>
  <w15:docId w15:val="{60890771-3087-4E44-BBA7-D2D0FBB1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F3A"/>
    <w:pPr>
      <w:ind w:left="720"/>
      <w:contextualSpacing/>
    </w:pPr>
  </w:style>
  <w:style w:type="paragraph" w:styleId="BalloonText">
    <w:name w:val="Balloon Text"/>
    <w:basedOn w:val="Normal"/>
    <w:link w:val="BalloonTextChar"/>
    <w:uiPriority w:val="99"/>
    <w:semiHidden/>
    <w:unhideWhenUsed/>
    <w:rsid w:val="00976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699"/>
    <w:rPr>
      <w:rFonts w:ascii="Tahoma" w:hAnsi="Tahoma" w:cs="Tahoma"/>
      <w:sz w:val="16"/>
      <w:szCs w:val="16"/>
    </w:rPr>
  </w:style>
  <w:style w:type="paragraph" w:styleId="Header">
    <w:name w:val="header"/>
    <w:basedOn w:val="Normal"/>
    <w:link w:val="HeaderChar"/>
    <w:uiPriority w:val="99"/>
    <w:unhideWhenUsed/>
    <w:rsid w:val="00C11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B13"/>
  </w:style>
  <w:style w:type="paragraph" w:styleId="Footer">
    <w:name w:val="footer"/>
    <w:basedOn w:val="Normal"/>
    <w:link w:val="FooterChar"/>
    <w:uiPriority w:val="99"/>
    <w:unhideWhenUsed/>
    <w:rsid w:val="00C11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B13"/>
  </w:style>
  <w:style w:type="character" w:styleId="Hyperlink">
    <w:name w:val="Hyperlink"/>
    <w:basedOn w:val="DefaultParagraphFont"/>
    <w:uiPriority w:val="99"/>
    <w:unhideWhenUsed/>
    <w:rsid w:val="00E54DA8"/>
    <w:rPr>
      <w:color w:val="0000FF" w:themeColor="hyperlink"/>
      <w:u w:val="single"/>
    </w:rPr>
  </w:style>
  <w:style w:type="character" w:styleId="CommentReference">
    <w:name w:val="annotation reference"/>
    <w:basedOn w:val="DefaultParagraphFont"/>
    <w:uiPriority w:val="99"/>
    <w:semiHidden/>
    <w:unhideWhenUsed/>
    <w:rsid w:val="003372D0"/>
    <w:rPr>
      <w:sz w:val="16"/>
      <w:szCs w:val="16"/>
    </w:rPr>
  </w:style>
  <w:style w:type="paragraph" w:styleId="CommentText">
    <w:name w:val="annotation text"/>
    <w:basedOn w:val="Normal"/>
    <w:link w:val="CommentTextChar"/>
    <w:uiPriority w:val="99"/>
    <w:semiHidden/>
    <w:unhideWhenUsed/>
    <w:rsid w:val="003372D0"/>
    <w:pPr>
      <w:spacing w:line="240" w:lineRule="auto"/>
    </w:pPr>
    <w:rPr>
      <w:sz w:val="20"/>
      <w:szCs w:val="20"/>
    </w:rPr>
  </w:style>
  <w:style w:type="character" w:customStyle="1" w:styleId="CommentTextChar">
    <w:name w:val="Comment Text Char"/>
    <w:basedOn w:val="DefaultParagraphFont"/>
    <w:link w:val="CommentText"/>
    <w:uiPriority w:val="99"/>
    <w:semiHidden/>
    <w:rsid w:val="003372D0"/>
    <w:rPr>
      <w:sz w:val="20"/>
      <w:szCs w:val="20"/>
    </w:rPr>
  </w:style>
  <w:style w:type="paragraph" w:styleId="CommentSubject">
    <w:name w:val="annotation subject"/>
    <w:basedOn w:val="CommentText"/>
    <w:next w:val="CommentText"/>
    <w:link w:val="CommentSubjectChar"/>
    <w:uiPriority w:val="99"/>
    <w:semiHidden/>
    <w:unhideWhenUsed/>
    <w:rsid w:val="003372D0"/>
    <w:rPr>
      <w:b/>
      <w:bCs/>
    </w:rPr>
  </w:style>
  <w:style w:type="character" w:customStyle="1" w:styleId="CommentSubjectChar">
    <w:name w:val="Comment Subject Char"/>
    <w:basedOn w:val="CommentTextChar"/>
    <w:link w:val="CommentSubject"/>
    <w:uiPriority w:val="99"/>
    <w:semiHidden/>
    <w:rsid w:val="003372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91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1482</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LLA</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Freddy Smith</dc:creator>
  <cp:lastModifiedBy>Sandra Whitehead</cp:lastModifiedBy>
  <cp:revision>3</cp:revision>
  <cp:lastPrinted>2017-03-23T21:03:00Z</cp:lastPrinted>
  <dcterms:created xsi:type="dcterms:W3CDTF">2022-07-13T15:44:00Z</dcterms:created>
  <dcterms:modified xsi:type="dcterms:W3CDTF">2022-07-13T16:08:00Z</dcterms:modified>
</cp:coreProperties>
</file>